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07" w:rsidRDefault="00AA07FF" w:rsidP="002B563E">
      <w:pPr>
        <w:pStyle w:val="Heading1"/>
      </w:pPr>
      <w:r>
        <w:rPr>
          <w:noProof/>
        </w:rPr>
        <w:drawing>
          <wp:anchor distT="0" distB="0" distL="114300" distR="114300" simplePos="0" relativeHeight="251658240" behindDoc="0" locked="0" layoutInCell="1" allowOverlap="1" wp14:anchorId="475AC114" wp14:editId="7FADECCF">
            <wp:simplePos x="0" y="0"/>
            <wp:positionH relativeFrom="column">
              <wp:posOffset>4483100</wp:posOffset>
            </wp:positionH>
            <wp:positionV relativeFrom="paragraph">
              <wp:posOffset>-65405</wp:posOffset>
            </wp:positionV>
            <wp:extent cx="1411605" cy="10102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awards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1605" cy="1010285"/>
                    </a:xfrm>
                    <a:prstGeom prst="rect">
                      <a:avLst/>
                    </a:prstGeom>
                  </pic:spPr>
                </pic:pic>
              </a:graphicData>
            </a:graphic>
            <wp14:sizeRelH relativeFrom="page">
              <wp14:pctWidth>0</wp14:pctWidth>
            </wp14:sizeRelH>
            <wp14:sizeRelV relativeFrom="page">
              <wp14:pctHeight>0</wp14:pctHeight>
            </wp14:sizeRelV>
          </wp:anchor>
        </w:drawing>
      </w:r>
      <w:r w:rsidR="008A743E">
        <w:t xml:space="preserve">Best use of </w:t>
      </w:r>
      <w:r w:rsidR="002B563E">
        <w:t>Software Tag</w:t>
      </w:r>
      <w:r w:rsidR="008A743E">
        <w:t xml:space="preserve">s - </w:t>
      </w:r>
      <w:r w:rsidR="002B563E">
        <w:t>Contest Rules</w:t>
      </w:r>
    </w:p>
    <w:p w:rsidR="002B563E" w:rsidRDefault="002B563E" w:rsidP="002B563E">
      <w:pPr>
        <w:pStyle w:val="Heading2"/>
      </w:pPr>
      <w:r>
        <w:t>Description of Contest</w:t>
      </w:r>
      <w:r w:rsidR="003F2B72">
        <w:br/>
      </w:r>
    </w:p>
    <w:p w:rsidR="001E6B57" w:rsidRDefault="002B563E" w:rsidP="002B563E">
      <w:r>
        <w:t xml:space="preserve">This contest is being sponsored by </w:t>
      </w:r>
      <w:r w:rsidR="005300DE">
        <w:t xml:space="preserve">The </w:t>
      </w:r>
      <w:r>
        <w:t xml:space="preserve">ITAM Review and TagVault.org.  The purpose of the contest is to identify those SAM tool vendors who have recognized the necessity of using software identification </w:t>
      </w:r>
      <w:r w:rsidR="00182CF5">
        <w:t xml:space="preserve">(SWID) </w:t>
      </w:r>
      <w:r>
        <w:t xml:space="preserve">tags already </w:t>
      </w:r>
      <w:hyperlink r:id="rId10" w:history="1">
        <w:r w:rsidRPr="002B563E">
          <w:rPr>
            <w:rStyle w:val="Hyperlink"/>
          </w:rPr>
          <w:t>deployed by Adobe Systems Inc.</w:t>
        </w:r>
      </w:hyperlink>
      <w:r>
        <w:t xml:space="preserve"> </w:t>
      </w:r>
      <w:r w:rsidR="009A2181">
        <w:t>as well as tags that fully conform to the ISO/IEC 19770-2:2009 standard</w:t>
      </w:r>
    </w:p>
    <w:p w:rsidR="0020401F" w:rsidRDefault="0020401F" w:rsidP="002B563E">
      <w:r>
        <w:t>This contest is designed to highlight ways in which SWID tags can improve reporting and other facilities in the inventory, discovery and SAM markets.  However, the contest has implications for the wider IT community as well due to the fact that authoritative software identification has a positive impact on desktop management, patch management, security policies, help desk procedures, and more.  In fact, accurate, consistent and authoritative software identification is required for most IT operations to work effectively.</w:t>
      </w:r>
    </w:p>
    <w:p w:rsidR="00EC5A69" w:rsidRDefault="00EC5A69" w:rsidP="002B563E">
      <w:r>
        <w:t xml:space="preserve">Software and tool purchasing organizations constantly use checklists to validate and compare the capabilities of various tools available for purchase.  This contest provides a third party review of the capabilities of the various tool vendors to use the next generation of software identification procedures to help purchasing organizations understand which tool vendors are committed to accurate and authoritative software identification procedures.  Due to the nature of SWID tags, they can be provided by the publisher, or by software purchasing organizations meaning that every single software product regardless of publisher, platform or release date can utilize tags immediately.  The value to software purchasing organizations is clear – using a standardized identification method allows consistency between all tools used in the organization regardless of platform or any organizational structure/process issues.  </w:t>
      </w:r>
    </w:p>
    <w:p w:rsidR="001E6B57" w:rsidRDefault="001E6B57" w:rsidP="002B563E">
      <w:r>
        <w:t>SWID tags are already starting to be required of software vendors by governmental organizations such as the US Air Force (</w:t>
      </w:r>
      <w:hyperlink r:id="rId11" w:history="1">
        <w:r w:rsidR="009E6580" w:rsidRPr="009E6580">
          <w:rPr>
            <w:rStyle w:val="Hyperlink"/>
          </w:rPr>
          <w:t xml:space="preserve">requirements included </w:t>
        </w:r>
        <w:r w:rsidRPr="009E6580">
          <w:rPr>
            <w:rStyle w:val="Hyperlink"/>
          </w:rPr>
          <w:t xml:space="preserve">the </w:t>
        </w:r>
        <w:proofErr w:type="spellStart"/>
        <w:r w:rsidRPr="009E6580">
          <w:rPr>
            <w:rStyle w:val="Hyperlink"/>
          </w:rPr>
          <w:t>NetCents</w:t>
        </w:r>
        <w:proofErr w:type="spellEnd"/>
        <w:r w:rsidRPr="009E6580">
          <w:rPr>
            <w:rStyle w:val="Hyperlink"/>
          </w:rPr>
          <w:t xml:space="preserve"> 2 RFP</w:t>
        </w:r>
      </w:hyperlink>
      <w:r>
        <w:t>) and the GSA (</w:t>
      </w:r>
      <w:hyperlink r:id="rId12" w:history="1">
        <w:r w:rsidRPr="009E6580">
          <w:rPr>
            <w:rStyle w:val="Hyperlink"/>
          </w:rPr>
          <w:t xml:space="preserve">with new draft language added to the </w:t>
        </w:r>
        <w:proofErr w:type="spellStart"/>
        <w:r w:rsidRPr="009E6580">
          <w:rPr>
            <w:rStyle w:val="Hyperlink"/>
          </w:rPr>
          <w:t>SmartBuy</w:t>
        </w:r>
        <w:proofErr w:type="spellEnd"/>
        <w:r w:rsidRPr="009E6580">
          <w:rPr>
            <w:rStyle w:val="Hyperlink"/>
          </w:rPr>
          <w:t xml:space="preserve"> program</w:t>
        </w:r>
      </w:hyperlink>
      <w:r>
        <w:t xml:space="preserve">).  </w:t>
      </w:r>
      <w:r w:rsidR="0020401F">
        <w:t xml:space="preserve">Due to the concerns software purchasing organizations have about accuracy of software identification information and frankly the fact that the software purchasing organizations end up being liable for any inaccuracies, we’ll be seeing larger enterprises requiring SWID tags as well.  </w:t>
      </w:r>
      <w:r w:rsidR="00D033B3">
        <w:t>Adobe, Symantec and CA have all made commitments in support of SWID tags as well either through product releases (of which Adobe is now on their second major release cycle with tags), or through the development of the non-profit program to create registration and certification procedures for SWID tags.</w:t>
      </w:r>
    </w:p>
    <w:p w:rsidR="00991572" w:rsidRDefault="00EC5A69" w:rsidP="00182CF5">
      <w:pPr>
        <w:pStyle w:val="Heading2"/>
      </w:pPr>
      <w:r>
        <w:t>Contest Dates</w:t>
      </w:r>
      <w:r w:rsidR="003F2B72">
        <w:br/>
      </w:r>
    </w:p>
    <w:p w:rsidR="000C7BA1" w:rsidRDefault="004D6AE0" w:rsidP="000C7BA1">
      <w:r>
        <w:rPr>
          <w:b/>
        </w:rPr>
        <w:t>Contest submission d</w:t>
      </w:r>
      <w:r w:rsidR="000C7BA1" w:rsidRPr="000C7BA1">
        <w:rPr>
          <w:b/>
        </w:rPr>
        <w:t>eadline:</w:t>
      </w:r>
      <w:r w:rsidR="00243D84">
        <w:t xml:space="preserve">  </w:t>
      </w:r>
      <w:r w:rsidR="00681150">
        <w:t xml:space="preserve">February </w:t>
      </w:r>
      <w:r w:rsidR="00E42AE8">
        <w:t>25</w:t>
      </w:r>
      <w:r w:rsidR="00EC5A69">
        <w:t>, 2011</w:t>
      </w:r>
    </w:p>
    <w:p w:rsidR="00681150" w:rsidRDefault="00681150" w:rsidP="000C7BA1">
      <w:r w:rsidRPr="00681150">
        <w:rPr>
          <w:b/>
        </w:rPr>
        <w:lastRenderedPageBreak/>
        <w:t>Sample Tags provided:</w:t>
      </w:r>
      <w:r w:rsidR="00E42AE8">
        <w:t xml:space="preserve">  February 28</w:t>
      </w:r>
      <w:r>
        <w:t>, 2011</w:t>
      </w:r>
    </w:p>
    <w:p w:rsidR="00681150" w:rsidRDefault="00681150" w:rsidP="000C7BA1">
      <w:r w:rsidRPr="00681150">
        <w:rPr>
          <w:b/>
        </w:rPr>
        <w:t>Final Tags provided:</w:t>
      </w:r>
      <w:r>
        <w:t xml:space="preserve">  April 11, 2011</w:t>
      </w:r>
    </w:p>
    <w:p w:rsidR="000C7BA1" w:rsidRDefault="000C7BA1" w:rsidP="000C7BA1">
      <w:r w:rsidRPr="000C7BA1">
        <w:rPr>
          <w:b/>
        </w:rPr>
        <w:t xml:space="preserve">Contest </w:t>
      </w:r>
      <w:r w:rsidR="004D6AE0">
        <w:rPr>
          <w:b/>
        </w:rPr>
        <w:t>p</w:t>
      </w:r>
      <w:r w:rsidRPr="000C7BA1">
        <w:rPr>
          <w:b/>
        </w:rPr>
        <w:t>resentation:</w:t>
      </w:r>
      <w:r>
        <w:t xml:space="preserve">  </w:t>
      </w:r>
      <w:r w:rsidR="00681150">
        <w:t>April 18 – April 21</w:t>
      </w:r>
      <w:r w:rsidR="00EC5A69">
        <w:t>, 2011</w:t>
      </w:r>
    </w:p>
    <w:p w:rsidR="000C7BA1" w:rsidRPr="000C7BA1" w:rsidRDefault="000C7BA1" w:rsidP="000C7BA1">
      <w:r w:rsidRPr="000C7BA1">
        <w:rPr>
          <w:b/>
        </w:rPr>
        <w:t xml:space="preserve">Announcement of </w:t>
      </w:r>
      <w:r w:rsidR="004D6AE0">
        <w:rPr>
          <w:b/>
        </w:rPr>
        <w:t>w</w:t>
      </w:r>
      <w:r w:rsidRPr="000C7BA1">
        <w:rPr>
          <w:b/>
        </w:rPr>
        <w:t>inner:</w:t>
      </w:r>
      <w:r>
        <w:t xml:space="preserve">  </w:t>
      </w:r>
      <w:r w:rsidR="00681150">
        <w:t>May 4</w:t>
      </w:r>
      <w:r w:rsidR="00EC5A69">
        <w:t>, 2011</w:t>
      </w:r>
    </w:p>
    <w:p w:rsidR="004D6AE0" w:rsidRDefault="00EC5A69" w:rsidP="00EC5A69">
      <w:pPr>
        <w:pStyle w:val="Heading2"/>
      </w:pPr>
      <w:r>
        <w:t>R</w:t>
      </w:r>
      <w:r w:rsidR="004D6AE0">
        <w:t>ules of th</w:t>
      </w:r>
      <w:r w:rsidR="00DE0018">
        <w:t>e</w:t>
      </w:r>
      <w:r>
        <w:t xml:space="preserve"> Contest</w:t>
      </w:r>
      <w:r>
        <w:br/>
      </w:r>
    </w:p>
    <w:p w:rsidR="00620C9B" w:rsidRDefault="00620C9B" w:rsidP="004D6AE0">
      <w:pPr>
        <w:pStyle w:val="ListParagraph"/>
        <w:numPr>
          <w:ilvl w:val="0"/>
          <w:numId w:val="1"/>
        </w:numPr>
      </w:pPr>
      <w:r>
        <w:t>All tags will conform to the ISO/IEC 19770-2:2009 specification.</w:t>
      </w:r>
    </w:p>
    <w:p w:rsidR="00ED7556" w:rsidRDefault="003A1B5D" w:rsidP="004D6AE0">
      <w:pPr>
        <w:pStyle w:val="ListParagraph"/>
        <w:numPr>
          <w:ilvl w:val="0"/>
          <w:numId w:val="1"/>
        </w:numPr>
      </w:pPr>
      <w:r>
        <w:t xml:space="preserve">Product demonstrations </w:t>
      </w:r>
      <w:r w:rsidR="00ED7556">
        <w:t>must include the use of all tags created for the contest by TagVault.org.  These tags will include:</w:t>
      </w:r>
    </w:p>
    <w:p w:rsidR="00ED7556" w:rsidRDefault="00ED7556" w:rsidP="00ED7556">
      <w:pPr>
        <w:pStyle w:val="ListParagraph"/>
        <w:numPr>
          <w:ilvl w:val="1"/>
          <w:numId w:val="1"/>
        </w:numPr>
      </w:pPr>
      <w:r>
        <w:t>Adobe CS5 tags</w:t>
      </w:r>
    </w:p>
    <w:p w:rsidR="00ED7556" w:rsidRDefault="00ED7556" w:rsidP="00ED7556">
      <w:pPr>
        <w:pStyle w:val="ListParagraph"/>
        <w:numPr>
          <w:ilvl w:val="1"/>
          <w:numId w:val="1"/>
        </w:numPr>
      </w:pPr>
      <w:r>
        <w:t>Symantec Certified Tags</w:t>
      </w:r>
    </w:p>
    <w:p w:rsidR="00ED7556" w:rsidRDefault="00ED7556" w:rsidP="00ED7556">
      <w:pPr>
        <w:pStyle w:val="ListParagraph"/>
        <w:numPr>
          <w:ilvl w:val="1"/>
          <w:numId w:val="1"/>
        </w:numPr>
      </w:pPr>
      <w:r>
        <w:t>Sample tags created byTagVault.org which will include</w:t>
      </w:r>
      <w:r w:rsidR="003A1B5D">
        <w:t xml:space="preserve"> the use of multiple optional elements in the tag structure including, but not limited to:</w:t>
      </w:r>
    </w:p>
    <w:p w:rsidR="00ED7556" w:rsidRDefault="00ED7556" w:rsidP="00ED7556">
      <w:pPr>
        <w:pStyle w:val="ListParagraph"/>
        <w:numPr>
          <w:ilvl w:val="2"/>
          <w:numId w:val="1"/>
        </w:numPr>
      </w:pPr>
      <w:r>
        <w:t>Suite tags that include the suites and the relationships with software products included as part of the suite</w:t>
      </w:r>
      <w:r w:rsidR="00620C9B">
        <w:t>.</w:t>
      </w:r>
    </w:p>
    <w:p w:rsidR="00ED7556" w:rsidRDefault="00ED7556" w:rsidP="00ED7556">
      <w:pPr>
        <w:pStyle w:val="ListParagraph"/>
        <w:numPr>
          <w:ilvl w:val="2"/>
          <w:numId w:val="1"/>
        </w:numPr>
      </w:pPr>
      <w:r>
        <w:t>Patch tags that identify their relationship with installed software products and/or suites</w:t>
      </w:r>
      <w:r w:rsidR="00620C9B">
        <w:t>.</w:t>
      </w:r>
    </w:p>
    <w:p w:rsidR="00ED7556" w:rsidRDefault="00ED7556" w:rsidP="00ED7556">
      <w:pPr>
        <w:pStyle w:val="ListParagraph"/>
        <w:numPr>
          <w:ilvl w:val="2"/>
          <w:numId w:val="1"/>
        </w:numPr>
      </w:pPr>
      <w:r>
        <w:t>Digital signatures that can be used to validate the integrity of data provided in the SWID tags</w:t>
      </w:r>
      <w:r w:rsidR="00620C9B">
        <w:t>.</w:t>
      </w:r>
    </w:p>
    <w:p w:rsidR="00DE0018" w:rsidRDefault="00DE0018" w:rsidP="00DE0018">
      <w:pPr>
        <w:pStyle w:val="ListParagraph"/>
        <w:numPr>
          <w:ilvl w:val="0"/>
          <w:numId w:val="1"/>
        </w:numPr>
      </w:pPr>
      <w:r>
        <w:t>Presentations will be 1</w:t>
      </w:r>
      <w:r w:rsidR="003A1B5D">
        <w:t>.5</w:t>
      </w:r>
      <w:r>
        <w:t xml:space="preserve"> hour in length</w:t>
      </w:r>
    </w:p>
    <w:p w:rsidR="00620C9B" w:rsidRDefault="00DE0018" w:rsidP="003A1B5D">
      <w:pPr>
        <w:pStyle w:val="ListParagraph"/>
        <w:numPr>
          <w:ilvl w:val="1"/>
          <w:numId w:val="1"/>
        </w:numPr>
      </w:pPr>
      <w:r>
        <w:t xml:space="preserve">Presentation will consist of at most 15 minutes of slide </w:t>
      </w:r>
      <w:r w:rsidR="00620C9B">
        <w:t>material</w:t>
      </w:r>
    </w:p>
    <w:p w:rsidR="00DE0018" w:rsidRDefault="00620C9B" w:rsidP="003A1B5D">
      <w:pPr>
        <w:pStyle w:val="ListParagraph"/>
        <w:numPr>
          <w:ilvl w:val="1"/>
          <w:numId w:val="1"/>
        </w:numPr>
      </w:pPr>
      <w:r>
        <w:t xml:space="preserve">Remaining </w:t>
      </w:r>
      <w:r w:rsidR="009A2181">
        <w:t xml:space="preserve">time should be used to demonstrate </w:t>
      </w:r>
      <w:r>
        <w:t xml:space="preserve">how your product utilizes </w:t>
      </w:r>
      <w:r w:rsidR="009A2181">
        <w:t xml:space="preserve">the </w:t>
      </w:r>
      <w:r>
        <w:t xml:space="preserve">information in the various </w:t>
      </w:r>
      <w:r w:rsidR="009A2181">
        <w:t>SWID tag</w:t>
      </w:r>
      <w:r>
        <w:t>s.</w:t>
      </w:r>
    </w:p>
    <w:p w:rsidR="003A1B5D" w:rsidRDefault="003A1B5D" w:rsidP="00620C9B">
      <w:pPr>
        <w:pStyle w:val="ListParagraph"/>
        <w:numPr>
          <w:ilvl w:val="1"/>
          <w:numId w:val="1"/>
        </w:numPr>
      </w:pPr>
      <w:r>
        <w:t xml:space="preserve">Contestants should highlight the architecture and details of how the system </w:t>
      </w:r>
      <w:proofErr w:type="gramStart"/>
      <w:r>
        <w:t>collects,</w:t>
      </w:r>
      <w:proofErr w:type="gramEnd"/>
      <w:r>
        <w:t xml:space="preserve"> stores and uses SWID tags</w:t>
      </w:r>
      <w:r w:rsidR="00620C9B">
        <w:t>.</w:t>
      </w:r>
    </w:p>
    <w:p w:rsidR="00620C9B" w:rsidRDefault="00620C9B" w:rsidP="00620C9B">
      <w:pPr>
        <w:pStyle w:val="ListParagraph"/>
        <w:numPr>
          <w:ilvl w:val="1"/>
          <w:numId w:val="1"/>
        </w:numPr>
      </w:pPr>
      <w:r>
        <w:t xml:space="preserve">Contestants should also highlight the various areas of their product set that utilize SWID tags (i.e. is the tag in a database for </w:t>
      </w:r>
      <w:proofErr w:type="gramStart"/>
      <w:r>
        <w:t>an</w:t>
      </w:r>
      <w:proofErr w:type="gramEnd"/>
      <w:r>
        <w:t xml:space="preserve"> user to find, or is it actively used as part of the reporting process).</w:t>
      </w:r>
    </w:p>
    <w:p w:rsidR="004D6AE0" w:rsidRDefault="00620C9B" w:rsidP="00620C9B">
      <w:pPr>
        <w:pStyle w:val="ListParagraph"/>
        <w:numPr>
          <w:ilvl w:val="0"/>
          <w:numId w:val="1"/>
        </w:numPr>
      </w:pPr>
      <w:r>
        <w:t>T</w:t>
      </w:r>
      <w:r w:rsidR="00DE0018">
        <w:t>ag collection and use features do not need to be available in shipping product – alpha, beta or field devel</w:t>
      </w:r>
      <w:r>
        <w:t>oped components will be allowed as part of the demonstration.</w:t>
      </w:r>
    </w:p>
    <w:p w:rsidR="00DE0018" w:rsidRDefault="00DE0018" w:rsidP="004D6AE0">
      <w:pPr>
        <w:pStyle w:val="ListParagraph"/>
        <w:numPr>
          <w:ilvl w:val="0"/>
          <w:numId w:val="1"/>
        </w:numPr>
      </w:pPr>
      <w:r>
        <w:t xml:space="preserve">Details of when </w:t>
      </w:r>
      <w:r w:rsidR="00620C9B">
        <w:t xml:space="preserve">SWID tag </w:t>
      </w:r>
      <w:r>
        <w:t xml:space="preserve">collection capabilities will be provided to </w:t>
      </w:r>
      <w:r w:rsidR="00620C9B">
        <w:t xml:space="preserve">market </w:t>
      </w:r>
      <w:r>
        <w:t xml:space="preserve">must be specified </w:t>
      </w:r>
      <w:r w:rsidR="00620C9B">
        <w:t xml:space="preserve">along with the </w:t>
      </w:r>
      <w:r>
        <w:t xml:space="preserve">delivery approach (patch, field add-on, separate utility, </w:t>
      </w:r>
      <w:proofErr w:type="spellStart"/>
      <w:r>
        <w:t>etc</w:t>
      </w:r>
      <w:proofErr w:type="spellEnd"/>
      <w:r>
        <w:t>)</w:t>
      </w:r>
      <w:r w:rsidR="00620C9B">
        <w:t>.</w:t>
      </w:r>
    </w:p>
    <w:p w:rsidR="00DE0018" w:rsidRDefault="00DE0018" w:rsidP="004D6AE0">
      <w:pPr>
        <w:pStyle w:val="ListParagraph"/>
        <w:numPr>
          <w:ilvl w:val="0"/>
          <w:numId w:val="1"/>
        </w:numPr>
      </w:pPr>
      <w:r>
        <w:t>No presentation information or release details may be considered confidential information</w:t>
      </w:r>
      <w:r w:rsidR="007A3DD0">
        <w:t xml:space="preserve"> unless separately arranged</w:t>
      </w:r>
    </w:p>
    <w:p w:rsidR="00DE0018" w:rsidRDefault="00DE0018" w:rsidP="004D6AE0">
      <w:pPr>
        <w:pStyle w:val="ListParagraph"/>
        <w:numPr>
          <w:ilvl w:val="0"/>
          <w:numId w:val="1"/>
        </w:numPr>
      </w:pPr>
      <w:r>
        <w:t>Architecture details may be kept confidential as required</w:t>
      </w:r>
      <w:r w:rsidR="009A2181">
        <w:t xml:space="preserve"> and/or requested by the tool provider</w:t>
      </w:r>
    </w:p>
    <w:p w:rsidR="00620C9B" w:rsidRDefault="00DE0018" w:rsidP="004D6AE0">
      <w:pPr>
        <w:pStyle w:val="ListParagraph"/>
        <w:numPr>
          <w:ilvl w:val="0"/>
          <w:numId w:val="1"/>
        </w:numPr>
      </w:pPr>
      <w:r>
        <w:t xml:space="preserve">The winners of the contest will be determined by </w:t>
      </w:r>
      <w:r w:rsidR="00620C9B">
        <w:t xml:space="preserve">a panel of judges that include end-users as well as Martin Thompson and Steve Klos.  </w:t>
      </w:r>
    </w:p>
    <w:p w:rsidR="00620C9B" w:rsidRDefault="00620C9B" w:rsidP="00620C9B">
      <w:pPr>
        <w:pStyle w:val="ListParagraph"/>
        <w:numPr>
          <w:ilvl w:val="1"/>
          <w:numId w:val="1"/>
        </w:numPr>
      </w:pPr>
      <w:r>
        <w:t>All end-user judges will be reviewed to ensure there is no conflict of interest</w:t>
      </w:r>
      <w:r w:rsidR="003F2B72">
        <w:t>.</w:t>
      </w:r>
    </w:p>
    <w:p w:rsidR="00620C9B" w:rsidRDefault="00620C9B" w:rsidP="00620C9B">
      <w:pPr>
        <w:pStyle w:val="ListParagraph"/>
        <w:numPr>
          <w:ilvl w:val="1"/>
          <w:numId w:val="1"/>
        </w:numPr>
      </w:pPr>
      <w:r>
        <w:lastRenderedPageBreak/>
        <w:t>Any end-user who has worked for a tool company in the last 3 years will not be allowed to participate as a judge</w:t>
      </w:r>
      <w:r w:rsidR="003F2B72">
        <w:t>.</w:t>
      </w:r>
    </w:p>
    <w:p w:rsidR="003F2B72" w:rsidRDefault="003F2B72" w:rsidP="003F2B72">
      <w:pPr>
        <w:pStyle w:val="ListParagraph"/>
        <w:numPr>
          <w:ilvl w:val="0"/>
          <w:numId w:val="1"/>
        </w:numPr>
      </w:pPr>
      <w:r>
        <w:t>Note that Martin and Steve will have the final say on the judging process.  If a judge is determined to be biased in their scoring, the scores may be removed from the tally.  If a contestant repudiates a judge, Martin and Steve will determine how to handle the situation and may remove the judge from the judging panel</w:t>
      </w:r>
    </w:p>
    <w:p w:rsidR="003F2B72" w:rsidRDefault="003F2B72" w:rsidP="003F2B72">
      <w:pPr>
        <w:pStyle w:val="ListParagraph"/>
        <w:numPr>
          <w:ilvl w:val="0"/>
          <w:numId w:val="1"/>
        </w:numPr>
      </w:pPr>
      <w:r>
        <w:t>Judges will score the contestants and provide comments for the tool vendors.  Each tool vendor will receive all comments provided by all judges.</w:t>
      </w:r>
    </w:p>
    <w:p w:rsidR="003F2B72" w:rsidRDefault="003F2B72" w:rsidP="003F2B72">
      <w:pPr>
        <w:pStyle w:val="ListParagraph"/>
        <w:numPr>
          <w:ilvl w:val="0"/>
          <w:numId w:val="1"/>
        </w:numPr>
      </w:pPr>
      <w:r>
        <w:t>Webcasts of the various tools will be provided to the market.  Every contest participant will have the right of refusal for the presentation of any material that shows demonstrations or screenshots of their products.</w:t>
      </w:r>
    </w:p>
    <w:p w:rsidR="001C1C6B" w:rsidRDefault="001C1C6B" w:rsidP="007A3DD0">
      <w:pPr>
        <w:pStyle w:val="Heading2"/>
      </w:pPr>
      <w:r>
        <w:t>Eligible companies</w:t>
      </w:r>
      <w:r w:rsidR="003F2B72">
        <w:br/>
      </w:r>
    </w:p>
    <w:p w:rsidR="001C1C6B" w:rsidRPr="001C1C6B" w:rsidRDefault="001C1C6B" w:rsidP="001C1C6B">
      <w:r>
        <w:t>Companies providing tools to manage discovery, inventory or SAM processes may enter the contest.  There is no requirement that the company be a member of TagVault.org to enter the contest.</w:t>
      </w:r>
    </w:p>
    <w:p w:rsidR="003F2B72" w:rsidRDefault="003F2B72" w:rsidP="003F2B72">
      <w:pPr>
        <w:pStyle w:val="Heading2"/>
      </w:pPr>
      <w:r>
        <w:t>Judging Criteria</w:t>
      </w:r>
      <w:r>
        <w:br/>
      </w:r>
    </w:p>
    <w:p w:rsidR="003F2B72" w:rsidRDefault="003F2B72" w:rsidP="003F2B72">
      <w:r>
        <w:t>The following criteria will be used in the judging:</w:t>
      </w:r>
    </w:p>
    <w:tbl>
      <w:tblPr>
        <w:tblStyle w:val="TableGrid"/>
        <w:tblW w:w="8948" w:type="dxa"/>
        <w:tblLook w:val="04A0" w:firstRow="1" w:lastRow="0" w:firstColumn="1" w:lastColumn="0" w:noHBand="0" w:noVBand="1"/>
      </w:tblPr>
      <w:tblGrid>
        <w:gridCol w:w="5958"/>
        <w:gridCol w:w="598"/>
        <w:gridCol w:w="598"/>
        <w:gridCol w:w="598"/>
        <w:gridCol w:w="598"/>
        <w:gridCol w:w="598"/>
      </w:tblGrid>
      <w:tr w:rsidR="0018215B" w:rsidTr="00506D7A">
        <w:tc>
          <w:tcPr>
            <w:tcW w:w="5958" w:type="dxa"/>
            <w:shd w:val="clear" w:color="auto" w:fill="000000" w:themeFill="text1"/>
          </w:tcPr>
          <w:p w:rsidR="003F2B72" w:rsidRDefault="0018215B" w:rsidP="0018215B">
            <w:pPr>
              <w:tabs>
                <w:tab w:val="right" w:pos="5670"/>
              </w:tabs>
            </w:pPr>
            <w:r w:rsidRPr="0018215B">
              <w:rPr>
                <w:b/>
              </w:rPr>
              <w:t>Criteria</w:t>
            </w:r>
            <w:r>
              <w:tab/>
              <w:t>(score - 1  - 5  with 5 being the best)</w:t>
            </w:r>
          </w:p>
        </w:tc>
        <w:tc>
          <w:tcPr>
            <w:tcW w:w="598" w:type="dxa"/>
            <w:shd w:val="clear" w:color="auto" w:fill="000000" w:themeFill="text1"/>
          </w:tcPr>
          <w:p w:rsidR="003F2B72" w:rsidRDefault="0018215B" w:rsidP="0018215B">
            <w:pPr>
              <w:jc w:val="center"/>
            </w:pPr>
            <w:r>
              <w:t>1</w:t>
            </w:r>
          </w:p>
        </w:tc>
        <w:tc>
          <w:tcPr>
            <w:tcW w:w="598" w:type="dxa"/>
            <w:shd w:val="clear" w:color="auto" w:fill="000000" w:themeFill="text1"/>
          </w:tcPr>
          <w:p w:rsidR="003F2B72" w:rsidRDefault="0018215B" w:rsidP="0018215B">
            <w:pPr>
              <w:jc w:val="center"/>
            </w:pPr>
            <w:r>
              <w:t>2</w:t>
            </w:r>
          </w:p>
        </w:tc>
        <w:tc>
          <w:tcPr>
            <w:tcW w:w="598" w:type="dxa"/>
            <w:shd w:val="clear" w:color="auto" w:fill="000000" w:themeFill="text1"/>
          </w:tcPr>
          <w:p w:rsidR="003F2B72" w:rsidRDefault="0018215B" w:rsidP="0018215B">
            <w:pPr>
              <w:jc w:val="center"/>
            </w:pPr>
            <w:r>
              <w:t>3</w:t>
            </w:r>
          </w:p>
        </w:tc>
        <w:tc>
          <w:tcPr>
            <w:tcW w:w="598" w:type="dxa"/>
            <w:shd w:val="clear" w:color="auto" w:fill="000000" w:themeFill="text1"/>
          </w:tcPr>
          <w:p w:rsidR="003F2B72" w:rsidRDefault="0018215B" w:rsidP="0018215B">
            <w:pPr>
              <w:jc w:val="center"/>
            </w:pPr>
            <w:r>
              <w:t>4</w:t>
            </w:r>
          </w:p>
        </w:tc>
        <w:tc>
          <w:tcPr>
            <w:tcW w:w="598" w:type="dxa"/>
            <w:shd w:val="clear" w:color="auto" w:fill="000000" w:themeFill="text1"/>
          </w:tcPr>
          <w:p w:rsidR="003F2B72" w:rsidRDefault="0018215B" w:rsidP="0018215B">
            <w:pPr>
              <w:jc w:val="center"/>
            </w:pPr>
            <w:r>
              <w:t>5</w:t>
            </w:r>
          </w:p>
        </w:tc>
      </w:tr>
      <w:tr w:rsidR="0018215B" w:rsidTr="00506D7A">
        <w:tc>
          <w:tcPr>
            <w:tcW w:w="5958" w:type="dxa"/>
          </w:tcPr>
          <w:p w:rsidR="0018215B" w:rsidRDefault="0018215B" w:rsidP="0018215B">
            <w:pPr>
              <w:tabs>
                <w:tab w:val="right" w:pos="5422"/>
              </w:tabs>
              <w:rPr>
                <w:b/>
              </w:rPr>
            </w:pPr>
            <w:r>
              <w:rPr>
                <w:b/>
              </w:rPr>
              <w:t>Tags stored so no data is lost</w:t>
            </w:r>
          </w:p>
          <w:p w:rsidR="002141A7" w:rsidRPr="002141A7" w:rsidRDefault="002141A7" w:rsidP="0018215B">
            <w:pPr>
              <w:tabs>
                <w:tab w:val="right" w:pos="5422"/>
              </w:tabs>
            </w:pPr>
            <w:r w:rsidRPr="002141A7">
              <w:t xml:space="preserve">(i.e. </w:t>
            </w:r>
            <w:r>
              <w:t>can a user export the tag from the server side and validate that the digital signature is still valid)</w:t>
            </w:r>
          </w:p>
        </w:tc>
        <w:tc>
          <w:tcPr>
            <w:tcW w:w="598" w:type="dxa"/>
          </w:tcPr>
          <w:p w:rsidR="0018215B" w:rsidRDefault="0018215B" w:rsidP="003F2B72"/>
        </w:tc>
        <w:tc>
          <w:tcPr>
            <w:tcW w:w="598" w:type="dxa"/>
          </w:tcPr>
          <w:p w:rsidR="0018215B" w:rsidRDefault="0018215B" w:rsidP="003F2B72"/>
        </w:tc>
        <w:tc>
          <w:tcPr>
            <w:tcW w:w="598" w:type="dxa"/>
          </w:tcPr>
          <w:p w:rsidR="0018215B" w:rsidRDefault="0018215B" w:rsidP="003F2B72"/>
        </w:tc>
        <w:tc>
          <w:tcPr>
            <w:tcW w:w="598" w:type="dxa"/>
          </w:tcPr>
          <w:p w:rsidR="0018215B" w:rsidRDefault="0018215B" w:rsidP="003F2B72"/>
        </w:tc>
        <w:tc>
          <w:tcPr>
            <w:tcW w:w="598" w:type="dxa"/>
          </w:tcPr>
          <w:p w:rsidR="0018215B" w:rsidRDefault="0018215B" w:rsidP="003F2B72"/>
        </w:tc>
      </w:tr>
      <w:tr w:rsidR="0018215B" w:rsidTr="00506D7A">
        <w:tc>
          <w:tcPr>
            <w:tcW w:w="5958" w:type="dxa"/>
          </w:tcPr>
          <w:p w:rsidR="0018215B" w:rsidRDefault="0018215B" w:rsidP="00AB65FC">
            <w:pPr>
              <w:tabs>
                <w:tab w:val="right" w:pos="5422"/>
              </w:tabs>
              <w:rPr>
                <w:b/>
              </w:rPr>
            </w:pPr>
            <w:r>
              <w:rPr>
                <w:b/>
              </w:rPr>
              <w:t xml:space="preserve">Tags are used throughout the </w:t>
            </w:r>
            <w:r w:rsidR="00AB65FC">
              <w:rPr>
                <w:b/>
              </w:rPr>
              <w:t>tool</w:t>
            </w:r>
            <w:r w:rsidR="002141A7">
              <w:rPr>
                <w:b/>
              </w:rPr>
              <w:br/>
            </w:r>
            <w:r w:rsidR="002141A7" w:rsidRPr="002141A7">
              <w:t xml:space="preserve">(i.e. </w:t>
            </w:r>
            <w:r w:rsidR="002141A7">
              <w:t>the tags are not simply used to store ID information in a database, but that ID information is used for reports, license compliance and other processing)</w:t>
            </w:r>
          </w:p>
        </w:tc>
        <w:tc>
          <w:tcPr>
            <w:tcW w:w="598" w:type="dxa"/>
          </w:tcPr>
          <w:p w:rsidR="0018215B" w:rsidRDefault="0018215B" w:rsidP="003F2B72"/>
        </w:tc>
        <w:tc>
          <w:tcPr>
            <w:tcW w:w="598" w:type="dxa"/>
          </w:tcPr>
          <w:p w:rsidR="0018215B" w:rsidRDefault="0018215B" w:rsidP="003F2B72"/>
        </w:tc>
        <w:tc>
          <w:tcPr>
            <w:tcW w:w="598" w:type="dxa"/>
          </w:tcPr>
          <w:p w:rsidR="0018215B" w:rsidRDefault="0018215B" w:rsidP="003F2B72"/>
        </w:tc>
        <w:tc>
          <w:tcPr>
            <w:tcW w:w="598" w:type="dxa"/>
          </w:tcPr>
          <w:p w:rsidR="0018215B" w:rsidRDefault="0018215B" w:rsidP="003F2B72"/>
        </w:tc>
        <w:tc>
          <w:tcPr>
            <w:tcW w:w="598" w:type="dxa"/>
          </w:tcPr>
          <w:p w:rsidR="0018215B" w:rsidRDefault="0018215B" w:rsidP="003F2B72"/>
        </w:tc>
      </w:tr>
      <w:tr w:rsidR="0018215B" w:rsidTr="00506D7A">
        <w:tc>
          <w:tcPr>
            <w:tcW w:w="5958" w:type="dxa"/>
          </w:tcPr>
          <w:p w:rsidR="0018215B" w:rsidRDefault="0018215B" w:rsidP="0018215B">
            <w:pPr>
              <w:tabs>
                <w:tab w:val="right" w:pos="5422"/>
              </w:tabs>
              <w:rPr>
                <w:b/>
              </w:rPr>
            </w:pPr>
            <w:r>
              <w:rPr>
                <w:b/>
              </w:rPr>
              <w:t>Tag software title is used as the discovered SW name</w:t>
            </w:r>
            <w:r>
              <w:rPr>
                <w:b/>
              </w:rPr>
              <w:br/>
            </w:r>
            <w:r w:rsidRPr="0018215B">
              <w:t>(as opposed to a proprietary name being used)</w:t>
            </w:r>
          </w:p>
        </w:tc>
        <w:tc>
          <w:tcPr>
            <w:tcW w:w="598" w:type="dxa"/>
          </w:tcPr>
          <w:p w:rsidR="0018215B" w:rsidRDefault="0018215B" w:rsidP="003F2B72"/>
        </w:tc>
        <w:tc>
          <w:tcPr>
            <w:tcW w:w="598" w:type="dxa"/>
          </w:tcPr>
          <w:p w:rsidR="0018215B" w:rsidRDefault="0018215B" w:rsidP="003F2B72"/>
        </w:tc>
        <w:tc>
          <w:tcPr>
            <w:tcW w:w="598" w:type="dxa"/>
          </w:tcPr>
          <w:p w:rsidR="0018215B" w:rsidRDefault="0018215B" w:rsidP="003F2B72"/>
        </w:tc>
        <w:tc>
          <w:tcPr>
            <w:tcW w:w="598" w:type="dxa"/>
          </w:tcPr>
          <w:p w:rsidR="0018215B" w:rsidRDefault="0018215B" w:rsidP="003F2B72"/>
        </w:tc>
        <w:tc>
          <w:tcPr>
            <w:tcW w:w="598" w:type="dxa"/>
          </w:tcPr>
          <w:p w:rsidR="0018215B" w:rsidRDefault="0018215B" w:rsidP="003F2B72"/>
        </w:tc>
      </w:tr>
      <w:tr w:rsidR="0018215B" w:rsidTr="00506D7A">
        <w:tc>
          <w:tcPr>
            <w:tcW w:w="5958" w:type="dxa"/>
          </w:tcPr>
          <w:p w:rsidR="0018215B" w:rsidRDefault="0018215B" w:rsidP="0018215B">
            <w:pPr>
              <w:tabs>
                <w:tab w:val="right" w:pos="5422"/>
              </w:tabs>
              <w:rPr>
                <w:b/>
              </w:rPr>
            </w:pPr>
            <w:r>
              <w:rPr>
                <w:b/>
              </w:rPr>
              <w:t>Reports show relationships between tags</w:t>
            </w:r>
          </w:p>
          <w:p w:rsidR="0018215B" w:rsidRPr="0018215B" w:rsidRDefault="0018215B" w:rsidP="0018215B">
            <w:pPr>
              <w:tabs>
                <w:tab w:val="right" w:pos="5422"/>
              </w:tabs>
            </w:pPr>
            <w:r w:rsidRPr="0018215B">
              <w:t>(such as a suite tag with the various products that make up that suite)</w:t>
            </w:r>
          </w:p>
        </w:tc>
        <w:tc>
          <w:tcPr>
            <w:tcW w:w="598" w:type="dxa"/>
          </w:tcPr>
          <w:p w:rsidR="0018215B" w:rsidRDefault="0018215B" w:rsidP="003F2B72"/>
        </w:tc>
        <w:tc>
          <w:tcPr>
            <w:tcW w:w="598" w:type="dxa"/>
          </w:tcPr>
          <w:p w:rsidR="0018215B" w:rsidRDefault="0018215B" w:rsidP="003F2B72"/>
        </w:tc>
        <w:tc>
          <w:tcPr>
            <w:tcW w:w="598" w:type="dxa"/>
          </w:tcPr>
          <w:p w:rsidR="0018215B" w:rsidRDefault="0018215B" w:rsidP="003F2B72"/>
        </w:tc>
        <w:tc>
          <w:tcPr>
            <w:tcW w:w="598" w:type="dxa"/>
          </w:tcPr>
          <w:p w:rsidR="0018215B" w:rsidRDefault="0018215B" w:rsidP="003F2B72"/>
        </w:tc>
        <w:tc>
          <w:tcPr>
            <w:tcW w:w="598" w:type="dxa"/>
          </w:tcPr>
          <w:p w:rsidR="0018215B" w:rsidRDefault="0018215B" w:rsidP="003F2B72"/>
        </w:tc>
      </w:tr>
      <w:tr w:rsidR="0018215B" w:rsidTr="00506D7A">
        <w:tc>
          <w:tcPr>
            <w:tcW w:w="5958" w:type="dxa"/>
          </w:tcPr>
          <w:p w:rsidR="0018215B" w:rsidRDefault="0018215B" w:rsidP="0018215B">
            <w:pPr>
              <w:tabs>
                <w:tab w:val="right" w:pos="5422"/>
              </w:tabs>
              <w:rPr>
                <w:b/>
              </w:rPr>
            </w:pPr>
            <w:r>
              <w:rPr>
                <w:b/>
              </w:rPr>
              <w:t>Reports allow drill down</w:t>
            </w:r>
            <w:r w:rsidR="00AB65FC">
              <w:rPr>
                <w:b/>
              </w:rPr>
              <w:t xml:space="preserve"> functions to discover more information about a product</w:t>
            </w:r>
          </w:p>
        </w:tc>
        <w:tc>
          <w:tcPr>
            <w:tcW w:w="598" w:type="dxa"/>
          </w:tcPr>
          <w:p w:rsidR="0018215B" w:rsidRDefault="0018215B" w:rsidP="003F2B72"/>
        </w:tc>
        <w:tc>
          <w:tcPr>
            <w:tcW w:w="598" w:type="dxa"/>
          </w:tcPr>
          <w:p w:rsidR="0018215B" w:rsidRDefault="0018215B" w:rsidP="003F2B72"/>
        </w:tc>
        <w:tc>
          <w:tcPr>
            <w:tcW w:w="598" w:type="dxa"/>
          </w:tcPr>
          <w:p w:rsidR="0018215B" w:rsidRDefault="0018215B" w:rsidP="003F2B72"/>
        </w:tc>
        <w:tc>
          <w:tcPr>
            <w:tcW w:w="598" w:type="dxa"/>
          </w:tcPr>
          <w:p w:rsidR="0018215B" w:rsidRDefault="0018215B" w:rsidP="003F2B72"/>
        </w:tc>
        <w:tc>
          <w:tcPr>
            <w:tcW w:w="598" w:type="dxa"/>
          </w:tcPr>
          <w:p w:rsidR="0018215B" w:rsidRDefault="0018215B" w:rsidP="003F2B72"/>
        </w:tc>
      </w:tr>
      <w:tr w:rsidR="0018215B" w:rsidTr="00506D7A">
        <w:tc>
          <w:tcPr>
            <w:tcW w:w="5958" w:type="dxa"/>
          </w:tcPr>
          <w:p w:rsidR="0018215B" w:rsidRDefault="0018215B" w:rsidP="0018215B">
            <w:pPr>
              <w:tabs>
                <w:tab w:val="right" w:pos="5422"/>
              </w:tabs>
              <w:rPr>
                <w:b/>
              </w:rPr>
            </w:pPr>
            <w:r>
              <w:rPr>
                <w:b/>
              </w:rPr>
              <w:t>Reports are able to show all data provided in a SWID Tag</w:t>
            </w:r>
          </w:p>
        </w:tc>
        <w:tc>
          <w:tcPr>
            <w:tcW w:w="598" w:type="dxa"/>
          </w:tcPr>
          <w:p w:rsidR="0018215B" w:rsidRDefault="0018215B" w:rsidP="003F2B72"/>
        </w:tc>
        <w:tc>
          <w:tcPr>
            <w:tcW w:w="598" w:type="dxa"/>
          </w:tcPr>
          <w:p w:rsidR="0018215B" w:rsidRDefault="0018215B" w:rsidP="003F2B72"/>
        </w:tc>
        <w:tc>
          <w:tcPr>
            <w:tcW w:w="598" w:type="dxa"/>
          </w:tcPr>
          <w:p w:rsidR="0018215B" w:rsidRDefault="0018215B" w:rsidP="003F2B72"/>
        </w:tc>
        <w:tc>
          <w:tcPr>
            <w:tcW w:w="598" w:type="dxa"/>
          </w:tcPr>
          <w:p w:rsidR="0018215B" w:rsidRDefault="0018215B" w:rsidP="003F2B72"/>
        </w:tc>
        <w:tc>
          <w:tcPr>
            <w:tcW w:w="598" w:type="dxa"/>
          </w:tcPr>
          <w:p w:rsidR="0018215B" w:rsidRDefault="0018215B" w:rsidP="003F2B72"/>
        </w:tc>
      </w:tr>
      <w:tr w:rsidR="0018215B" w:rsidTr="00506D7A">
        <w:tc>
          <w:tcPr>
            <w:tcW w:w="5958" w:type="dxa"/>
          </w:tcPr>
          <w:p w:rsidR="0018215B" w:rsidRDefault="0018215B" w:rsidP="0018215B">
            <w:pPr>
              <w:tabs>
                <w:tab w:val="right" w:pos="5422"/>
              </w:tabs>
              <w:rPr>
                <w:b/>
              </w:rPr>
            </w:pPr>
            <w:r>
              <w:rPr>
                <w:b/>
              </w:rPr>
              <w:t>Tool identifies if signed data has been tampered with</w:t>
            </w:r>
          </w:p>
        </w:tc>
        <w:tc>
          <w:tcPr>
            <w:tcW w:w="598" w:type="dxa"/>
          </w:tcPr>
          <w:p w:rsidR="0018215B" w:rsidRDefault="0018215B" w:rsidP="003F2B72"/>
        </w:tc>
        <w:tc>
          <w:tcPr>
            <w:tcW w:w="598" w:type="dxa"/>
          </w:tcPr>
          <w:p w:rsidR="0018215B" w:rsidRDefault="0018215B" w:rsidP="003F2B72"/>
        </w:tc>
        <w:tc>
          <w:tcPr>
            <w:tcW w:w="598" w:type="dxa"/>
          </w:tcPr>
          <w:p w:rsidR="0018215B" w:rsidRDefault="0018215B" w:rsidP="003F2B72"/>
        </w:tc>
        <w:tc>
          <w:tcPr>
            <w:tcW w:w="598" w:type="dxa"/>
          </w:tcPr>
          <w:p w:rsidR="0018215B" w:rsidRDefault="0018215B" w:rsidP="003F2B72"/>
        </w:tc>
        <w:tc>
          <w:tcPr>
            <w:tcW w:w="598" w:type="dxa"/>
          </w:tcPr>
          <w:p w:rsidR="0018215B" w:rsidRDefault="0018215B" w:rsidP="003F2B72"/>
        </w:tc>
      </w:tr>
      <w:tr w:rsidR="0018215B" w:rsidTr="00506D7A">
        <w:tc>
          <w:tcPr>
            <w:tcW w:w="5958" w:type="dxa"/>
          </w:tcPr>
          <w:p w:rsidR="0018215B" w:rsidRDefault="0018215B" w:rsidP="0018215B">
            <w:pPr>
              <w:tabs>
                <w:tab w:val="right" w:pos="5422"/>
              </w:tabs>
              <w:rPr>
                <w:b/>
              </w:rPr>
            </w:pPr>
            <w:r>
              <w:rPr>
                <w:b/>
              </w:rPr>
              <w:t>Reports are clear and useful to SAM practitioners</w:t>
            </w:r>
          </w:p>
        </w:tc>
        <w:tc>
          <w:tcPr>
            <w:tcW w:w="598" w:type="dxa"/>
          </w:tcPr>
          <w:p w:rsidR="0018215B" w:rsidRDefault="0018215B" w:rsidP="003F2B72"/>
        </w:tc>
        <w:tc>
          <w:tcPr>
            <w:tcW w:w="598" w:type="dxa"/>
          </w:tcPr>
          <w:p w:rsidR="0018215B" w:rsidRDefault="0018215B" w:rsidP="003F2B72"/>
        </w:tc>
        <w:tc>
          <w:tcPr>
            <w:tcW w:w="598" w:type="dxa"/>
          </w:tcPr>
          <w:p w:rsidR="0018215B" w:rsidRDefault="0018215B" w:rsidP="003F2B72"/>
        </w:tc>
        <w:tc>
          <w:tcPr>
            <w:tcW w:w="598" w:type="dxa"/>
          </w:tcPr>
          <w:p w:rsidR="0018215B" w:rsidRDefault="0018215B" w:rsidP="003F2B72"/>
        </w:tc>
        <w:tc>
          <w:tcPr>
            <w:tcW w:w="598" w:type="dxa"/>
          </w:tcPr>
          <w:p w:rsidR="0018215B" w:rsidRDefault="0018215B" w:rsidP="003F2B72"/>
        </w:tc>
      </w:tr>
      <w:tr w:rsidR="0018215B" w:rsidTr="00506D7A">
        <w:tc>
          <w:tcPr>
            <w:tcW w:w="5958" w:type="dxa"/>
          </w:tcPr>
          <w:p w:rsidR="00D01BC8" w:rsidRDefault="00D01BC8" w:rsidP="0018215B">
            <w:pPr>
              <w:tabs>
                <w:tab w:val="right" w:pos="5422"/>
              </w:tabs>
              <w:rPr>
                <w:b/>
              </w:rPr>
            </w:pPr>
            <w:r>
              <w:rPr>
                <w:b/>
              </w:rPr>
              <w:t xml:space="preserve">Multiple views of the </w:t>
            </w:r>
            <w:r w:rsidR="00243D84">
              <w:rPr>
                <w:b/>
              </w:rPr>
              <w:t xml:space="preserve">tag </w:t>
            </w:r>
            <w:r>
              <w:rPr>
                <w:b/>
              </w:rPr>
              <w:t>data are available</w:t>
            </w:r>
          </w:p>
          <w:p w:rsidR="002141A7" w:rsidRDefault="002141A7" w:rsidP="00AB65FC">
            <w:pPr>
              <w:tabs>
                <w:tab w:val="right" w:pos="5422"/>
              </w:tabs>
            </w:pPr>
            <w:r>
              <w:t>(reports might include:</w:t>
            </w:r>
          </w:p>
          <w:p w:rsidR="002141A7" w:rsidRDefault="00AB65FC" w:rsidP="002141A7">
            <w:pPr>
              <w:pStyle w:val="ListParagraph"/>
              <w:numPr>
                <w:ilvl w:val="0"/>
                <w:numId w:val="4"/>
              </w:numPr>
              <w:tabs>
                <w:tab w:val="right" w:pos="5422"/>
              </w:tabs>
            </w:pPr>
            <w:r>
              <w:t xml:space="preserve">count of devices with a </w:t>
            </w:r>
            <w:r w:rsidR="00D01BC8" w:rsidRPr="00D01BC8">
              <w:t>specified suite installed</w:t>
            </w:r>
          </w:p>
          <w:p w:rsidR="002141A7" w:rsidRDefault="00D01BC8" w:rsidP="002141A7">
            <w:pPr>
              <w:pStyle w:val="ListParagraph"/>
              <w:numPr>
                <w:ilvl w:val="0"/>
                <w:numId w:val="4"/>
              </w:numPr>
              <w:tabs>
                <w:tab w:val="right" w:pos="5422"/>
              </w:tabs>
            </w:pPr>
            <w:r w:rsidRPr="00D01BC8">
              <w:t>count of products from the suite that are installed</w:t>
            </w:r>
          </w:p>
          <w:p w:rsidR="002141A7" w:rsidRDefault="002141A7" w:rsidP="002141A7">
            <w:pPr>
              <w:pStyle w:val="ListParagraph"/>
              <w:numPr>
                <w:ilvl w:val="0"/>
                <w:numId w:val="4"/>
              </w:numPr>
              <w:tabs>
                <w:tab w:val="right" w:pos="5422"/>
              </w:tabs>
            </w:pPr>
            <w:r>
              <w:t xml:space="preserve">which </w:t>
            </w:r>
            <w:r w:rsidR="00AB65FC">
              <w:t xml:space="preserve">devices </w:t>
            </w:r>
            <w:r>
              <w:t>have the</w:t>
            </w:r>
            <w:r w:rsidR="00AB65FC">
              <w:t xml:space="preserve"> suite installed</w:t>
            </w:r>
          </w:p>
          <w:p w:rsidR="002141A7" w:rsidRDefault="00D01BC8" w:rsidP="002141A7">
            <w:pPr>
              <w:pStyle w:val="ListParagraph"/>
              <w:numPr>
                <w:ilvl w:val="0"/>
                <w:numId w:val="4"/>
              </w:numPr>
              <w:tabs>
                <w:tab w:val="right" w:pos="5422"/>
              </w:tabs>
            </w:pPr>
            <w:r w:rsidRPr="00D01BC8">
              <w:t xml:space="preserve">all installations of a specified product regardless if it is </w:t>
            </w:r>
            <w:r w:rsidRPr="00D01BC8">
              <w:lastRenderedPageBreak/>
              <w:t>installed as a suite or stand-alone product</w:t>
            </w:r>
          </w:p>
          <w:p w:rsidR="002141A7" w:rsidRDefault="002141A7" w:rsidP="002141A7">
            <w:pPr>
              <w:pStyle w:val="ListParagraph"/>
              <w:numPr>
                <w:ilvl w:val="0"/>
                <w:numId w:val="4"/>
              </w:numPr>
              <w:tabs>
                <w:tab w:val="right" w:pos="5422"/>
              </w:tabs>
            </w:pPr>
            <w:r>
              <w:t>count and report of all installations of a suite that do not have a specified part of the suite installed</w:t>
            </w:r>
          </w:p>
          <w:p w:rsidR="00D01BC8" w:rsidRPr="00D01BC8" w:rsidRDefault="00D01BC8" w:rsidP="002141A7">
            <w:pPr>
              <w:pStyle w:val="ListParagraph"/>
              <w:numPr>
                <w:ilvl w:val="0"/>
                <w:numId w:val="4"/>
              </w:numPr>
              <w:tabs>
                <w:tab w:val="right" w:pos="5422"/>
              </w:tabs>
            </w:pPr>
            <w:proofErr w:type="spellStart"/>
            <w:r w:rsidRPr="00D01BC8">
              <w:t>etc</w:t>
            </w:r>
            <w:proofErr w:type="spellEnd"/>
            <w:r w:rsidRPr="00D01BC8">
              <w:t>)</w:t>
            </w:r>
          </w:p>
        </w:tc>
        <w:tc>
          <w:tcPr>
            <w:tcW w:w="598" w:type="dxa"/>
          </w:tcPr>
          <w:p w:rsidR="0018215B" w:rsidRDefault="0018215B" w:rsidP="003F2B72"/>
        </w:tc>
        <w:tc>
          <w:tcPr>
            <w:tcW w:w="598" w:type="dxa"/>
          </w:tcPr>
          <w:p w:rsidR="0018215B" w:rsidRDefault="0018215B" w:rsidP="003F2B72"/>
        </w:tc>
        <w:tc>
          <w:tcPr>
            <w:tcW w:w="598" w:type="dxa"/>
          </w:tcPr>
          <w:p w:rsidR="0018215B" w:rsidRDefault="0018215B" w:rsidP="003F2B72"/>
        </w:tc>
        <w:tc>
          <w:tcPr>
            <w:tcW w:w="598" w:type="dxa"/>
          </w:tcPr>
          <w:p w:rsidR="0018215B" w:rsidRDefault="0018215B" w:rsidP="003F2B72"/>
        </w:tc>
        <w:tc>
          <w:tcPr>
            <w:tcW w:w="598" w:type="dxa"/>
          </w:tcPr>
          <w:p w:rsidR="0018215B" w:rsidRDefault="0018215B" w:rsidP="003F2B72"/>
        </w:tc>
      </w:tr>
      <w:tr w:rsidR="00D01BC8" w:rsidTr="00506D7A">
        <w:tc>
          <w:tcPr>
            <w:tcW w:w="5958" w:type="dxa"/>
          </w:tcPr>
          <w:p w:rsidR="00D01BC8" w:rsidRDefault="00AB65FC" w:rsidP="0018215B">
            <w:pPr>
              <w:tabs>
                <w:tab w:val="right" w:pos="5422"/>
              </w:tabs>
              <w:rPr>
                <w:b/>
              </w:rPr>
            </w:pPr>
            <w:r>
              <w:rPr>
                <w:b/>
              </w:rPr>
              <w:lastRenderedPageBreak/>
              <w:t xml:space="preserve">Reports include grouping capabilities </w:t>
            </w:r>
            <w:r>
              <w:rPr>
                <w:b/>
              </w:rPr>
              <w:br/>
            </w:r>
            <w:r w:rsidRPr="00AB65FC">
              <w:t xml:space="preserve">(i.e. Publisher, platform, product, version, </w:t>
            </w:r>
            <w:proofErr w:type="spellStart"/>
            <w:r w:rsidRPr="00AB65FC">
              <w:t>etc</w:t>
            </w:r>
            <w:proofErr w:type="spellEnd"/>
            <w:r w:rsidRPr="00AB65FC">
              <w:t>)</w:t>
            </w:r>
          </w:p>
        </w:tc>
        <w:tc>
          <w:tcPr>
            <w:tcW w:w="598" w:type="dxa"/>
          </w:tcPr>
          <w:p w:rsidR="00D01BC8" w:rsidRDefault="00D01BC8" w:rsidP="003F2B72"/>
        </w:tc>
        <w:tc>
          <w:tcPr>
            <w:tcW w:w="598" w:type="dxa"/>
          </w:tcPr>
          <w:p w:rsidR="00D01BC8" w:rsidRDefault="00D01BC8" w:rsidP="003F2B72"/>
        </w:tc>
        <w:tc>
          <w:tcPr>
            <w:tcW w:w="598" w:type="dxa"/>
          </w:tcPr>
          <w:p w:rsidR="00D01BC8" w:rsidRDefault="00D01BC8" w:rsidP="003F2B72"/>
        </w:tc>
        <w:tc>
          <w:tcPr>
            <w:tcW w:w="598" w:type="dxa"/>
          </w:tcPr>
          <w:p w:rsidR="00D01BC8" w:rsidRDefault="00D01BC8" w:rsidP="003F2B72"/>
        </w:tc>
        <w:tc>
          <w:tcPr>
            <w:tcW w:w="598" w:type="dxa"/>
          </w:tcPr>
          <w:p w:rsidR="00D01BC8" w:rsidRDefault="00D01BC8" w:rsidP="003F2B72"/>
        </w:tc>
      </w:tr>
      <w:tr w:rsidR="002141A7" w:rsidTr="00506D7A">
        <w:tc>
          <w:tcPr>
            <w:tcW w:w="5958" w:type="dxa"/>
          </w:tcPr>
          <w:p w:rsidR="002141A7" w:rsidRDefault="002141A7" w:rsidP="0018215B">
            <w:pPr>
              <w:tabs>
                <w:tab w:val="right" w:pos="5422"/>
              </w:tabs>
              <w:rPr>
                <w:b/>
              </w:rPr>
            </w:pPr>
            <w:r>
              <w:rPr>
                <w:b/>
              </w:rPr>
              <w:t>Reports are useful to SAM practitioner</w:t>
            </w:r>
          </w:p>
        </w:tc>
        <w:tc>
          <w:tcPr>
            <w:tcW w:w="598" w:type="dxa"/>
          </w:tcPr>
          <w:p w:rsidR="002141A7" w:rsidRDefault="002141A7" w:rsidP="003F2B72"/>
        </w:tc>
        <w:tc>
          <w:tcPr>
            <w:tcW w:w="598" w:type="dxa"/>
          </w:tcPr>
          <w:p w:rsidR="002141A7" w:rsidRDefault="002141A7" w:rsidP="003F2B72"/>
        </w:tc>
        <w:tc>
          <w:tcPr>
            <w:tcW w:w="598" w:type="dxa"/>
          </w:tcPr>
          <w:p w:rsidR="002141A7" w:rsidRDefault="002141A7" w:rsidP="003F2B72"/>
        </w:tc>
        <w:tc>
          <w:tcPr>
            <w:tcW w:w="598" w:type="dxa"/>
          </w:tcPr>
          <w:p w:rsidR="002141A7" w:rsidRDefault="002141A7" w:rsidP="003F2B72"/>
        </w:tc>
        <w:tc>
          <w:tcPr>
            <w:tcW w:w="598" w:type="dxa"/>
          </w:tcPr>
          <w:p w:rsidR="002141A7" w:rsidRDefault="002141A7" w:rsidP="003F2B72"/>
        </w:tc>
      </w:tr>
      <w:tr w:rsidR="002141A7" w:rsidTr="00506D7A">
        <w:tc>
          <w:tcPr>
            <w:tcW w:w="5958" w:type="dxa"/>
          </w:tcPr>
          <w:p w:rsidR="002141A7" w:rsidRDefault="002141A7" w:rsidP="0018215B">
            <w:pPr>
              <w:tabs>
                <w:tab w:val="right" w:pos="5422"/>
              </w:tabs>
              <w:rPr>
                <w:b/>
              </w:rPr>
            </w:pPr>
            <w:r>
              <w:rPr>
                <w:b/>
              </w:rPr>
              <w:t>Reports are useful to compliance manager</w:t>
            </w:r>
          </w:p>
        </w:tc>
        <w:tc>
          <w:tcPr>
            <w:tcW w:w="598" w:type="dxa"/>
          </w:tcPr>
          <w:p w:rsidR="002141A7" w:rsidRDefault="002141A7" w:rsidP="003F2B72"/>
        </w:tc>
        <w:tc>
          <w:tcPr>
            <w:tcW w:w="598" w:type="dxa"/>
          </w:tcPr>
          <w:p w:rsidR="002141A7" w:rsidRDefault="002141A7" w:rsidP="003F2B72"/>
        </w:tc>
        <w:tc>
          <w:tcPr>
            <w:tcW w:w="598" w:type="dxa"/>
          </w:tcPr>
          <w:p w:rsidR="002141A7" w:rsidRDefault="002141A7" w:rsidP="003F2B72"/>
        </w:tc>
        <w:tc>
          <w:tcPr>
            <w:tcW w:w="598" w:type="dxa"/>
          </w:tcPr>
          <w:p w:rsidR="002141A7" w:rsidRDefault="002141A7" w:rsidP="003F2B72"/>
        </w:tc>
        <w:tc>
          <w:tcPr>
            <w:tcW w:w="598" w:type="dxa"/>
          </w:tcPr>
          <w:p w:rsidR="002141A7" w:rsidRDefault="002141A7" w:rsidP="003F2B72"/>
        </w:tc>
      </w:tr>
      <w:tr w:rsidR="002141A7" w:rsidTr="00506D7A">
        <w:tc>
          <w:tcPr>
            <w:tcW w:w="5958" w:type="dxa"/>
          </w:tcPr>
          <w:p w:rsidR="002141A7" w:rsidRDefault="002141A7" w:rsidP="0018215B">
            <w:pPr>
              <w:tabs>
                <w:tab w:val="right" w:pos="5422"/>
              </w:tabs>
              <w:rPr>
                <w:b/>
              </w:rPr>
            </w:pPr>
            <w:r>
              <w:rPr>
                <w:b/>
              </w:rPr>
              <w:t>Reports are useful to patch manager</w:t>
            </w:r>
          </w:p>
        </w:tc>
        <w:tc>
          <w:tcPr>
            <w:tcW w:w="598" w:type="dxa"/>
          </w:tcPr>
          <w:p w:rsidR="002141A7" w:rsidRDefault="002141A7" w:rsidP="003F2B72"/>
        </w:tc>
        <w:tc>
          <w:tcPr>
            <w:tcW w:w="598" w:type="dxa"/>
          </w:tcPr>
          <w:p w:rsidR="002141A7" w:rsidRDefault="002141A7" w:rsidP="003F2B72"/>
        </w:tc>
        <w:tc>
          <w:tcPr>
            <w:tcW w:w="598" w:type="dxa"/>
          </w:tcPr>
          <w:p w:rsidR="002141A7" w:rsidRDefault="002141A7" w:rsidP="003F2B72"/>
        </w:tc>
        <w:tc>
          <w:tcPr>
            <w:tcW w:w="598" w:type="dxa"/>
          </w:tcPr>
          <w:p w:rsidR="002141A7" w:rsidRDefault="002141A7" w:rsidP="003F2B72"/>
        </w:tc>
        <w:tc>
          <w:tcPr>
            <w:tcW w:w="598" w:type="dxa"/>
          </w:tcPr>
          <w:p w:rsidR="002141A7" w:rsidRDefault="002141A7" w:rsidP="003F2B72"/>
        </w:tc>
      </w:tr>
      <w:tr w:rsidR="002141A7" w:rsidTr="00506D7A">
        <w:tc>
          <w:tcPr>
            <w:tcW w:w="5958" w:type="dxa"/>
          </w:tcPr>
          <w:p w:rsidR="002141A7" w:rsidRDefault="002141A7" w:rsidP="0018215B">
            <w:pPr>
              <w:tabs>
                <w:tab w:val="right" w:pos="5422"/>
              </w:tabs>
              <w:rPr>
                <w:b/>
              </w:rPr>
            </w:pPr>
            <w:r>
              <w:rPr>
                <w:b/>
              </w:rPr>
              <w:t>Reports are useful to desktop manager</w:t>
            </w:r>
          </w:p>
        </w:tc>
        <w:tc>
          <w:tcPr>
            <w:tcW w:w="598" w:type="dxa"/>
          </w:tcPr>
          <w:p w:rsidR="002141A7" w:rsidRDefault="002141A7" w:rsidP="003F2B72"/>
        </w:tc>
        <w:tc>
          <w:tcPr>
            <w:tcW w:w="598" w:type="dxa"/>
          </w:tcPr>
          <w:p w:rsidR="002141A7" w:rsidRDefault="002141A7" w:rsidP="003F2B72"/>
        </w:tc>
        <w:tc>
          <w:tcPr>
            <w:tcW w:w="598" w:type="dxa"/>
          </w:tcPr>
          <w:p w:rsidR="002141A7" w:rsidRDefault="002141A7" w:rsidP="003F2B72"/>
        </w:tc>
        <w:tc>
          <w:tcPr>
            <w:tcW w:w="598" w:type="dxa"/>
          </w:tcPr>
          <w:p w:rsidR="002141A7" w:rsidRDefault="002141A7" w:rsidP="003F2B72"/>
        </w:tc>
        <w:tc>
          <w:tcPr>
            <w:tcW w:w="598" w:type="dxa"/>
          </w:tcPr>
          <w:p w:rsidR="002141A7" w:rsidRDefault="002141A7" w:rsidP="003F2B72"/>
        </w:tc>
      </w:tr>
      <w:tr w:rsidR="002141A7" w:rsidTr="00506D7A">
        <w:tc>
          <w:tcPr>
            <w:tcW w:w="5958" w:type="dxa"/>
          </w:tcPr>
          <w:p w:rsidR="002141A7" w:rsidRDefault="002141A7" w:rsidP="002141A7">
            <w:pPr>
              <w:tabs>
                <w:tab w:val="right" w:pos="5422"/>
              </w:tabs>
              <w:rPr>
                <w:b/>
              </w:rPr>
            </w:pPr>
            <w:r>
              <w:rPr>
                <w:b/>
              </w:rPr>
              <w:t xml:space="preserve">Reports are useful to corporate policy compliance </w:t>
            </w:r>
            <w:r>
              <w:rPr>
                <w:b/>
              </w:rPr>
              <w:br/>
              <w:t>(</w:t>
            </w:r>
            <w:r w:rsidRPr="00506D7A">
              <w:t>Reports might include:</w:t>
            </w:r>
          </w:p>
          <w:p w:rsidR="002141A7" w:rsidRPr="002141A7" w:rsidRDefault="002141A7" w:rsidP="002141A7">
            <w:pPr>
              <w:pStyle w:val="ListParagraph"/>
              <w:numPr>
                <w:ilvl w:val="0"/>
                <w:numId w:val="5"/>
              </w:numPr>
              <w:tabs>
                <w:tab w:val="right" w:pos="5422"/>
              </w:tabs>
            </w:pPr>
            <w:r w:rsidRPr="002141A7">
              <w:t>software that is not part of an approved list</w:t>
            </w:r>
          </w:p>
          <w:p w:rsidR="002141A7" w:rsidRPr="00506D7A" w:rsidRDefault="002141A7" w:rsidP="002141A7">
            <w:pPr>
              <w:pStyle w:val="ListParagraph"/>
              <w:numPr>
                <w:ilvl w:val="0"/>
                <w:numId w:val="5"/>
              </w:numPr>
              <w:tabs>
                <w:tab w:val="right" w:pos="5422"/>
              </w:tabs>
              <w:rPr>
                <w:b/>
              </w:rPr>
            </w:pPr>
            <w:r w:rsidRPr="002141A7">
              <w:t>specific categories of software – i.e. 43232000  computer game or entertainment software</w:t>
            </w:r>
            <w:r w:rsidR="00506D7A">
              <w:t>, 43232104 word processing software</w:t>
            </w:r>
          </w:p>
          <w:p w:rsidR="00506D7A" w:rsidRPr="00506D7A" w:rsidRDefault="00506D7A" w:rsidP="002141A7">
            <w:pPr>
              <w:pStyle w:val="ListParagraph"/>
              <w:numPr>
                <w:ilvl w:val="0"/>
                <w:numId w:val="5"/>
              </w:numPr>
              <w:tabs>
                <w:tab w:val="right" w:pos="5422"/>
              </w:tabs>
            </w:pPr>
            <w:r w:rsidRPr="00506D7A">
              <w:t xml:space="preserve">software tags </w:t>
            </w:r>
            <w:r>
              <w:t>with “</w:t>
            </w:r>
            <w:proofErr w:type="spellStart"/>
            <w:r>
              <w:t>entitlement_required_indicator</w:t>
            </w:r>
            <w:proofErr w:type="spellEnd"/>
            <w:r>
              <w:t>” set to false – typical of open source software</w:t>
            </w:r>
          </w:p>
          <w:p w:rsidR="00506D7A" w:rsidRPr="002141A7" w:rsidRDefault="00D96D31" w:rsidP="002141A7">
            <w:pPr>
              <w:pStyle w:val="ListParagraph"/>
              <w:numPr>
                <w:ilvl w:val="0"/>
                <w:numId w:val="5"/>
              </w:numPr>
              <w:tabs>
                <w:tab w:val="right" w:pos="5422"/>
              </w:tabs>
              <w:rPr>
                <w:b/>
              </w:rPr>
            </w:pPr>
            <w:proofErr w:type="gramStart"/>
            <w:r>
              <w:t>other</w:t>
            </w:r>
            <w:proofErr w:type="gramEnd"/>
            <w:r>
              <w:t xml:space="preserve"> data identified in the SWID tags that have a potential to be problematic for the purchasing organization.</w:t>
            </w:r>
          </w:p>
        </w:tc>
        <w:tc>
          <w:tcPr>
            <w:tcW w:w="598" w:type="dxa"/>
          </w:tcPr>
          <w:p w:rsidR="002141A7" w:rsidRDefault="002141A7" w:rsidP="003F2B72"/>
        </w:tc>
        <w:tc>
          <w:tcPr>
            <w:tcW w:w="598" w:type="dxa"/>
          </w:tcPr>
          <w:p w:rsidR="002141A7" w:rsidRDefault="002141A7" w:rsidP="003F2B72"/>
        </w:tc>
        <w:tc>
          <w:tcPr>
            <w:tcW w:w="598" w:type="dxa"/>
          </w:tcPr>
          <w:p w:rsidR="002141A7" w:rsidRDefault="002141A7" w:rsidP="003F2B72"/>
        </w:tc>
        <w:tc>
          <w:tcPr>
            <w:tcW w:w="598" w:type="dxa"/>
          </w:tcPr>
          <w:p w:rsidR="002141A7" w:rsidRDefault="002141A7" w:rsidP="003F2B72"/>
        </w:tc>
        <w:tc>
          <w:tcPr>
            <w:tcW w:w="598" w:type="dxa"/>
          </w:tcPr>
          <w:p w:rsidR="002141A7" w:rsidRDefault="002141A7" w:rsidP="003F2B72"/>
        </w:tc>
      </w:tr>
      <w:tr w:rsidR="00AB65FC" w:rsidTr="00506D7A">
        <w:tc>
          <w:tcPr>
            <w:tcW w:w="5958" w:type="dxa"/>
          </w:tcPr>
          <w:p w:rsidR="00AB65FC" w:rsidRDefault="00AB65FC" w:rsidP="0018215B">
            <w:pPr>
              <w:tabs>
                <w:tab w:val="right" w:pos="5422"/>
              </w:tabs>
              <w:rPr>
                <w:b/>
              </w:rPr>
            </w:pPr>
            <w:r>
              <w:rPr>
                <w:b/>
              </w:rPr>
              <w:t xml:space="preserve">Where available, tool provides platform details as well </w:t>
            </w:r>
            <w:r w:rsidRPr="00AB65FC">
              <w:t xml:space="preserve">(Windows, Windows, Macintosh, HP-UX, </w:t>
            </w:r>
            <w:proofErr w:type="spellStart"/>
            <w:r w:rsidRPr="00AB65FC">
              <w:t>RedHat</w:t>
            </w:r>
            <w:proofErr w:type="spellEnd"/>
            <w:r w:rsidRPr="00AB65FC">
              <w:t xml:space="preserve">, </w:t>
            </w:r>
            <w:r>
              <w:t xml:space="preserve">Windows Phone, Android, Blackberry, </w:t>
            </w:r>
            <w:proofErr w:type="spellStart"/>
            <w:r w:rsidRPr="00AB65FC">
              <w:t>etc</w:t>
            </w:r>
            <w:proofErr w:type="spellEnd"/>
            <w:r w:rsidRPr="00AB65FC">
              <w:t>)</w:t>
            </w:r>
          </w:p>
        </w:tc>
        <w:tc>
          <w:tcPr>
            <w:tcW w:w="598" w:type="dxa"/>
          </w:tcPr>
          <w:p w:rsidR="00AB65FC" w:rsidRDefault="00AB65FC" w:rsidP="003F2B72"/>
        </w:tc>
        <w:tc>
          <w:tcPr>
            <w:tcW w:w="598" w:type="dxa"/>
          </w:tcPr>
          <w:p w:rsidR="00AB65FC" w:rsidRDefault="00AB65FC" w:rsidP="003F2B72"/>
        </w:tc>
        <w:tc>
          <w:tcPr>
            <w:tcW w:w="598" w:type="dxa"/>
          </w:tcPr>
          <w:p w:rsidR="00AB65FC" w:rsidRDefault="00AB65FC" w:rsidP="003F2B72"/>
        </w:tc>
        <w:tc>
          <w:tcPr>
            <w:tcW w:w="598" w:type="dxa"/>
          </w:tcPr>
          <w:p w:rsidR="00AB65FC" w:rsidRDefault="00AB65FC" w:rsidP="003F2B72"/>
        </w:tc>
        <w:tc>
          <w:tcPr>
            <w:tcW w:w="598" w:type="dxa"/>
          </w:tcPr>
          <w:p w:rsidR="00AB65FC" w:rsidRDefault="00AB65FC" w:rsidP="003F2B72"/>
        </w:tc>
      </w:tr>
    </w:tbl>
    <w:p w:rsidR="003F2B72" w:rsidRDefault="003F2B72" w:rsidP="003F2B72"/>
    <w:p w:rsidR="00BB7032" w:rsidRDefault="00BB7032" w:rsidP="00BB7032">
      <w:pPr>
        <w:pStyle w:val="Heading3"/>
      </w:pPr>
      <w:r>
        <w:t>Judges’ Comments based on the web demonstration</w:t>
      </w:r>
    </w:p>
    <w:p w:rsidR="00BB7032" w:rsidRDefault="00BB7032" w:rsidP="00BB7032">
      <w:r>
        <w:t>We encourage judges to provide additional feedback to the product teams, The ITAM Review and TagVault.org.  These comments are particularly valuable to the product teams for them to know what was good, bad, or less relevant during the demonstration presentation.</w:t>
      </w:r>
    </w:p>
    <w:p w:rsidR="009A2181" w:rsidRPr="009A2181" w:rsidRDefault="009A2181" w:rsidP="009A2181">
      <w:pPr>
        <w:pStyle w:val="Heading2"/>
      </w:pPr>
      <w:r>
        <w:t>Winners of the contest will receive:</w:t>
      </w:r>
    </w:p>
    <w:p w:rsidR="009A2181" w:rsidRDefault="005300DE" w:rsidP="009A2181">
      <w:pPr>
        <w:pStyle w:val="ListParagraph"/>
        <w:numPr>
          <w:ilvl w:val="0"/>
          <w:numId w:val="2"/>
        </w:numPr>
      </w:pPr>
      <w:r>
        <w:t>A write up in T</w:t>
      </w:r>
      <w:r w:rsidR="009A2181">
        <w:t>he ITAM Review newsletter describing the SAM tool and the reason it won the contest</w:t>
      </w:r>
    </w:p>
    <w:p w:rsidR="00E42AE8" w:rsidRDefault="00E42AE8" w:rsidP="009A2181">
      <w:pPr>
        <w:pStyle w:val="ListParagraph"/>
        <w:numPr>
          <w:ilvl w:val="0"/>
          <w:numId w:val="2"/>
        </w:numPr>
      </w:pPr>
      <w:r>
        <w:t>Highlighted presentation in the contest video (available from the TagVault.org and The ITAM Review websites).</w:t>
      </w:r>
    </w:p>
    <w:p w:rsidR="009A2181" w:rsidRDefault="009A2181" w:rsidP="009A2181">
      <w:pPr>
        <w:pStyle w:val="ListParagraph"/>
        <w:numPr>
          <w:ilvl w:val="0"/>
          <w:numId w:val="2"/>
        </w:numPr>
      </w:pPr>
      <w:r>
        <w:t xml:space="preserve"> A joint press release from </w:t>
      </w:r>
      <w:r w:rsidR="005300DE">
        <w:t xml:space="preserve">The </w:t>
      </w:r>
      <w:r>
        <w:t>ITAM Review and TagVault.org</w:t>
      </w:r>
    </w:p>
    <w:p w:rsidR="009A2181" w:rsidRDefault="009A2181" w:rsidP="009A2181">
      <w:pPr>
        <w:pStyle w:val="ListParagraph"/>
        <w:numPr>
          <w:ilvl w:val="0"/>
          <w:numId w:val="2"/>
        </w:numPr>
      </w:pPr>
      <w:r>
        <w:t>The ability to use the appropriate logo on their website, marketing literature, product and other electronic and physical materials</w:t>
      </w:r>
    </w:p>
    <w:p w:rsidR="009A2181" w:rsidRDefault="009A2181" w:rsidP="009A2181">
      <w:pPr>
        <w:pStyle w:val="Heading2"/>
      </w:pPr>
      <w:r>
        <w:t>Contest process</w:t>
      </w:r>
    </w:p>
    <w:p w:rsidR="00BB7032" w:rsidRDefault="00182CF5" w:rsidP="00182CF5">
      <w:r>
        <w:t xml:space="preserve">Organizations interested in submitting an entry </w:t>
      </w:r>
      <w:r w:rsidR="004D6AE0">
        <w:t>will</w:t>
      </w:r>
      <w:r>
        <w:t xml:space="preserve"> fill out the entry form and e-mail it to </w:t>
      </w:r>
      <w:hyperlink r:id="rId13" w:history="1">
        <w:r w:rsidRPr="00182CF5">
          <w:rPr>
            <w:rStyle w:val="Hyperlink"/>
          </w:rPr>
          <w:t>Martin Thompson</w:t>
        </w:r>
      </w:hyperlink>
      <w:r>
        <w:t xml:space="preserve"> and </w:t>
      </w:r>
      <w:hyperlink r:id="rId14" w:history="1">
        <w:r w:rsidRPr="00182CF5">
          <w:rPr>
            <w:rStyle w:val="Hyperlink"/>
          </w:rPr>
          <w:t>Steve Klos</w:t>
        </w:r>
      </w:hyperlink>
      <w:r>
        <w:t xml:space="preserve">.  Submissions are due by </w:t>
      </w:r>
      <w:r w:rsidR="00BB7032">
        <w:t xml:space="preserve">February </w:t>
      </w:r>
      <w:r w:rsidR="00E42AE8">
        <w:t>25</w:t>
      </w:r>
      <w:r>
        <w:t>, 201</w:t>
      </w:r>
      <w:r w:rsidR="00243D84">
        <w:t>1</w:t>
      </w:r>
      <w:r>
        <w:t xml:space="preserve">.  </w:t>
      </w:r>
      <w:r w:rsidR="00BB7032">
        <w:t>Sample Tags will be provided to all registered companies on Feb 2</w:t>
      </w:r>
      <w:r w:rsidR="00E42AE8">
        <w:t>8</w:t>
      </w:r>
      <w:r w:rsidR="00BB7032">
        <w:t xml:space="preserve">, 2011 with final tags provided on April 11, 2011.  </w:t>
      </w:r>
      <w:r>
        <w:t xml:space="preserve">Martin and Steve </w:t>
      </w:r>
      <w:r>
        <w:lastRenderedPageBreak/>
        <w:t xml:space="preserve">will setup time with your organization </w:t>
      </w:r>
      <w:r w:rsidR="00BB7032">
        <w:t>between April 18 and April 21</w:t>
      </w:r>
      <w:r w:rsidR="0083555D">
        <w:t>, 201</w:t>
      </w:r>
      <w:r w:rsidR="00243D84">
        <w:t>1</w:t>
      </w:r>
      <w:r w:rsidR="0083555D">
        <w:t xml:space="preserve"> </w:t>
      </w:r>
      <w:r>
        <w:t xml:space="preserve">to view a webcast of your </w:t>
      </w:r>
      <w:r w:rsidR="0083555D">
        <w:t xml:space="preserve">solution </w:t>
      </w:r>
      <w:r>
        <w:t>and review how effective it is at collecting and using the information provided in SWID tags</w:t>
      </w:r>
      <w:r w:rsidR="00BB7032">
        <w:t xml:space="preserve">.  </w:t>
      </w:r>
    </w:p>
    <w:p w:rsidR="00243D84" w:rsidRDefault="00243D84" w:rsidP="00182CF5">
      <w:r>
        <w:t>All tags will conform to the ISO/IEC 19770-2 standard and may contain any elements specified in the standard.</w:t>
      </w:r>
    </w:p>
    <w:p w:rsidR="00243D84" w:rsidRDefault="00243D84" w:rsidP="00182CF5">
      <w:r>
        <w:t>All presentations will be recorded</w:t>
      </w:r>
      <w:r w:rsidR="00BB7032">
        <w:t xml:space="preserve"> for review by additional judges as well as creation of the final webcast showing the benefits of the various tools</w:t>
      </w:r>
      <w:r>
        <w:t xml:space="preserve">.  </w:t>
      </w:r>
      <w:r w:rsidR="00BB7032">
        <w:t xml:space="preserve">All </w:t>
      </w:r>
      <w:r>
        <w:t>materials</w:t>
      </w:r>
      <w:r w:rsidR="00BB7032">
        <w:t xml:space="preserve"> for a specified tool or vendor</w:t>
      </w:r>
      <w:r>
        <w:t xml:space="preserve"> that will be presented as part of the webcast for this contest will be provided to the contact named on the contest entry for review</w:t>
      </w:r>
      <w:r w:rsidR="00BB7032">
        <w:t xml:space="preserve"> and approval for publication</w:t>
      </w:r>
      <w:r>
        <w:t>.  No materials will be presented publically unless authorized by the vendor contact.</w:t>
      </w:r>
      <w:bookmarkStart w:id="0" w:name="_GoBack"/>
      <w:bookmarkEnd w:id="0"/>
    </w:p>
    <w:sectPr w:rsidR="00243D84" w:rsidSect="0043330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027" w:rsidRDefault="00BF0027" w:rsidP="00C128DA">
      <w:pPr>
        <w:spacing w:after="0" w:line="240" w:lineRule="auto"/>
      </w:pPr>
      <w:r>
        <w:separator/>
      </w:r>
    </w:p>
  </w:endnote>
  <w:endnote w:type="continuationSeparator" w:id="0">
    <w:p w:rsidR="00BF0027" w:rsidRDefault="00BF0027" w:rsidP="00C12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DA" w:rsidRDefault="00C128DA">
    <w:pPr>
      <w:pStyle w:val="Footer"/>
    </w:pPr>
    <w:r>
      <w:t xml:space="preserve">Copyright TagVault.org and </w:t>
    </w:r>
    <w:r w:rsidR="00BB7032">
      <w:t>The ITAM Review,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027" w:rsidRDefault="00BF0027" w:rsidP="00C128DA">
      <w:pPr>
        <w:spacing w:after="0" w:line="240" w:lineRule="auto"/>
      </w:pPr>
      <w:r>
        <w:separator/>
      </w:r>
    </w:p>
  </w:footnote>
  <w:footnote w:type="continuationSeparator" w:id="0">
    <w:p w:rsidR="00BF0027" w:rsidRDefault="00BF0027" w:rsidP="00C128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4890"/>
    <w:multiLevelType w:val="hybridMultilevel"/>
    <w:tmpl w:val="099E76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C71825"/>
    <w:multiLevelType w:val="hybridMultilevel"/>
    <w:tmpl w:val="ED4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7B6532"/>
    <w:multiLevelType w:val="hybridMultilevel"/>
    <w:tmpl w:val="ECF0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FE47F9"/>
    <w:multiLevelType w:val="hybridMultilevel"/>
    <w:tmpl w:val="D71ABA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7227C8"/>
    <w:multiLevelType w:val="hybridMultilevel"/>
    <w:tmpl w:val="AD84211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3E"/>
    <w:rsid w:val="00011C94"/>
    <w:rsid w:val="0001305E"/>
    <w:rsid w:val="00021C62"/>
    <w:rsid w:val="00027021"/>
    <w:rsid w:val="000308C8"/>
    <w:rsid w:val="00031E74"/>
    <w:rsid w:val="00032C37"/>
    <w:rsid w:val="00033540"/>
    <w:rsid w:val="000351D1"/>
    <w:rsid w:val="00035F28"/>
    <w:rsid w:val="0004598F"/>
    <w:rsid w:val="00046FCE"/>
    <w:rsid w:val="00053C0D"/>
    <w:rsid w:val="000623C6"/>
    <w:rsid w:val="00086895"/>
    <w:rsid w:val="00090636"/>
    <w:rsid w:val="000976DA"/>
    <w:rsid w:val="000B2956"/>
    <w:rsid w:val="000B30CE"/>
    <w:rsid w:val="000B45CF"/>
    <w:rsid w:val="000C7BA1"/>
    <w:rsid w:val="000E53BB"/>
    <w:rsid w:val="001007A0"/>
    <w:rsid w:val="001040E1"/>
    <w:rsid w:val="00120DD9"/>
    <w:rsid w:val="00124DF9"/>
    <w:rsid w:val="00144F0C"/>
    <w:rsid w:val="00150238"/>
    <w:rsid w:val="00153544"/>
    <w:rsid w:val="001536DF"/>
    <w:rsid w:val="00161F45"/>
    <w:rsid w:val="00164AA2"/>
    <w:rsid w:val="00165FF9"/>
    <w:rsid w:val="00166F4D"/>
    <w:rsid w:val="00167062"/>
    <w:rsid w:val="0018215B"/>
    <w:rsid w:val="00182CF5"/>
    <w:rsid w:val="00187B0A"/>
    <w:rsid w:val="00197FDF"/>
    <w:rsid w:val="001B0450"/>
    <w:rsid w:val="001B15BC"/>
    <w:rsid w:val="001B7848"/>
    <w:rsid w:val="001C1C6B"/>
    <w:rsid w:val="001E6B57"/>
    <w:rsid w:val="001E7CDD"/>
    <w:rsid w:val="00200C70"/>
    <w:rsid w:val="0020401F"/>
    <w:rsid w:val="002141A7"/>
    <w:rsid w:val="002274D5"/>
    <w:rsid w:val="002338F9"/>
    <w:rsid w:val="00243D84"/>
    <w:rsid w:val="00252840"/>
    <w:rsid w:val="00254EFC"/>
    <w:rsid w:val="0026371B"/>
    <w:rsid w:val="00276AA6"/>
    <w:rsid w:val="00294981"/>
    <w:rsid w:val="002A12DA"/>
    <w:rsid w:val="002A2CBB"/>
    <w:rsid w:val="002A663B"/>
    <w:rsid w:val="002B105F"/>
    <w:rsid w:val="002B563E"/>
    <w:rsid w:val="002D04C2"/>
    <w:rsid w:val="002D6599"/>
    <w:rsid w:val="002D69C5"/>
    <w:rsid w:val="002E2907"/>
    <w:rsid w:val="00306BD4"/>
    <w:rsid w:val="003110AC"/>
    <w:rsid w:val="00322A6B"/>
    <w:rsid w:val="00325EDA"/>
    <w:rsid w:val="0033739D"/>
    <w:rsid w:val="0033797E"/>
    <w:rsid w:val="00340010"/>
    <w:rsid w:val="00346844"/>
    <w:rsid w:val="00357DFB"/>
    <w:rsid w:val="00361F65"/>
    <w:rsid w:val="003668E4"/>
    <w:rsid w:val="0037431D"/>
    <w:rsid w:val="003803F8"/>
    <w:rsid w:val="00380DB0"/>
    <w:rsid w:val="003A1B5D"/>
    <w:rsid w:val="003A44E7"/>
    <w:rsid w:val="003B61FE"/>
    <w:rsid w:val="003B6F2F"/>
    <w:rsid w:val="003C3C00"/>
    <w:rsid w:val="003E239D"/>
    <w:rsid w:val="003E3ED8"/>
    <w:rsid w:val="003E7265"/>
    <w:rsid w:val="003F2B72"/>
    <w:rsid w:val="00407F76"/>
    <w:rsid w:val="004156E8"/>
    <w:rsid w:val="00425C2A"/>
    <w:rsid w:val="00433307"/>
    <w:rsid w:val="0043578F"/>
    <w:rsid w:val="00443327"/>
    <w:rsid w:val="00473CB0"/>
    <w:rsid w:val="00476297"/>
    <w:rsid w:val="004762B1"/>
    <w:rsid w:val="004900BA"/>
    <w:rsid w:val="00490D48"/>
    <w:rsid w:val="00496CE0"/>
    <w:rsid w:val="0049783A"/>
    <w:rsid w:val="004A4B5A"/>
    <w:rsid w:val="004B275C"/>
    <w:rsid w:val="004B338D"/>
    <w:rsid w:val="004C7D06"/>
    <w:rsid w:val="004D0B80"/>
    <w:rsid w:val="004D6AE0"/>
    <w:rsid w:val="004E7859"/>
    <w:rsid w:val="004E7C9B"/>
    <w:rsid w:val="004F0FEC"/>
    <w:rsid w:val="00506D7A"/>
    <w:rsid w:val="00513923"/>
    <w:rsid w:val="00516EE2"/>
    <w:rsid w:val="00520F65"/>
    <w:rsid w:val="00524E47"/>
    <w:rsid w:val="005252C8"/>
    <w:rsid w:val="00525CB6"/>
    <w:rsid w:val="005300DE"/>
    <w:rsid w:val="00532169"/>
    <w:rsid w:val="005473EB"/>
    <w:rsid w:val="005561F5"/>
    <w:rsid w:val="00557F30"/>
    <w:rsid w:val="00561057"/>
    <w:rsid w:val="0058421F"/>
    <w:rsid w:val="0058478F"/>
    <w:rsid w:val="00585E1A"/>
    <w:rsid w:val="00587F56"/>
    <w:rsid w:val="0059686F"/>
    <w:rsid w:val="005A4F3C"/>
    <w:rsid w:val="005B6A96"/>
    <w:rsid w:val="005C40C0"/>
    <w:rsid w:val="005C5D52"/>
    <w:rsid w:val="005C6FB1"/>
    <w:rsid w:val="005F6D00"/>
    <w:rsid w:val="006021E6"/>
    <w:rsid w:val="00603954"/>
    <w:rsid w:val="00610CE5"/>
    <w:rsid w:val="00617FD5"/>
    <w:rsid w:val="00620C9B"/>
    <w:rsid w:val="00622A46"/>
    <w:rsid w:val="00630E07"/>
    <w:rsid w:val="00631674"/>
    <w:rsid w:val="00643BCD"/>
    <w:rsid w:val="00645142"/>
    <w:rsid w:val="00667F20"/>
    <w:rsid w:val="0067669C"/>
    <w:rsid w:val="00676ED6"/>
    <w:rsid w:val="00681150"/>
    <w:rsid w:val="00685555"/>
    <w:rsid w:val="006924E5"/>
    <w:rsid w:val="006A24FB"/>
    <w:rsid w:val="006B479A"/>
    <w:rsid w:val="006C2331"/>
    <w:rsid w:val="006C4111"/>
    <w:rsid w:val="006D027F"/>
    <w:rsid w:val="006D5C04"/>
    <w:rsid w:val="006E6F48"/>
    <w:rsid w:val="006F0BAD"/>
    <w:rsid w:val="006F72E3"/>
    <w:rsid w:val="007154A3"/>
    <w:rsid w:val="00717950"/>
    <w:rsid w:val="00732795"/>
    <w:rsid w:val="00735B2F"/>
    <w:rsid w:val="00752402"/>
    <w:rsid w:val="0075295C"/>
    <w:rsid w:val="007542E0"/>
    <w:rsid w:val="00757B72"/>
    <w:rsid w:val="00763D91"/>
    <w:rsid w:val="00765157"/>
    <w:rsid w:val="00766F75"/>
    <w:rsid w:val="007717E3"/>
    <w:rsid w:val="00775A02"/>
    <w:rsid w:val="007847D8"/>
    <w:rsid w:val="00793C2C"/>
    <w:rsid w:val="007A13B5"/>
    <w:rsid w:val="007A2E3E"/>
    <w:rsid w:val="007A3DD0"/>
    <w:rsid w:val="007A6625"/>
    <w:rsid w:val="007A6965"/>
    <w:rsid w:val="007A6DF6"/>
    <w:rsid w:val="007B2D23"/>
    <w:rsid w:val="007B70A9"/>
    <w:rsid w:val="007C1E76"/>
    <w:rsid w:val="007D0083"/>
    <w:rsid w:val="007D4249"/>
    <w:rsid w:val="007D692D"/>
    <w:rsid w:val="007F7CB2"/>
    <w:rsid w:val="00801776"/>
    <w:rsid w:val="00811585"/>
    <w:rsid w:val="008145FF"/>
    <w:rsid w:val="00814EEA"/>
    <w:rsid w:val="00827E33"/>
    <w:rsid w:val="008302CB"/>
    <w:rsid w:val="00831BB2"/>
    <w:rsid w:val="0083555D"/>
    <w:rsid w:val="008379F7"/>
    <w:rsid w:val="008522EF"/>
    <w:rsid w:val="0086278F"/>
    <w:rsid w:val="00873CBB"/>
    <w:rsid w:val="00874286"/>
    <w:rsid w:val="00876037"/>
    <w:rsid w:val="0087623F"/>
    <w:rsid w:val="008A743E"/>
    <w:rsid w:val="008B62D6"/>
    <w:rsid w:val="008C08E9"/>
    <w:rsid w:val="008C1D72"/>
    <w:rsid w:val="008C308C"/>
    <w:rsid w:val="008C46C1"/>
    <w:rsid w:val="008D5AA0"/>
    <w:rsid w:val="008E5B14"/>
    <w:rsid w:val="008F3B8A"/>
    <w:rsid w:val="008F4742"/>
    <w:rsid w:val="00910BC5"/>
    <w:rsid w:val="00921AD9"/>
    <w:rsid w:val="00923980"/>
    <w:rsid w:val="00930E8E"/>
    <w:rsid w:val="009329FD"/>
    <w:rsid w:val="0094345F"/>
    <w:rsid w:val="00946900"/>
    <w:rsid w:val="00951404"/>
    <w:rsid w:val="009576E9"/>
    <w:rsid w:val="00957E4C"/>
    <w:rsid w:val="009604EB"/>
    <w:rsid w:val="00962D14"/>
    <w:rsid w:val="0097578A"/>
    <w:rsid w:val="00991572"/>
    <w:rsid w:val="009A2181"/>
    <w:rsid w:val="009B4035"/>
    <w:rsid w:val="009C2E5E"/>
    <w:rsid w:val="009C311F"/>
    <w:rsid w:val="009D2AFC"/>
    <w:rsid w:val="009E25B5"/>
    <w:rsid w:val="009E4467"/>
    <w:rsid w:val="009E53D5"/>
    <w:rsid w:val="009E6580"/>
    <w:rsid w:val="009F13E6"/>
    <w:rsid w:val="009F4C26"/>
    <w:rsid w:val="009F772A"/>
    <w:rsid w:val="00A012F0"/>
    <w:rsid w:val="00A0235C"/>
    <w:rsid w:val="00A11431"/>
    <w:rsid w:val="00A16F02"/>
    <w:rsid w:val="00A17DBF"/>
    <w:rsid w:val="00A240E9"/>
    <w:rsid w:val="00A73822"/>
    <w:rsid w:val="00A7445C"/>
    <w:rsid w:val="00A803DF"/>
    <w:rsid w:val="00A82270"/>
    <w:rsid w:val="00A850EA"/>
    <w:rsid w:val="00A86867"/>
    <w:rsid w:val="00A955B9"/>
    <w:rsid w:val="00A955DF"/>
    <w:rsid w:val="00AA060A"/>
    <w:rsid w:val="00AA07FF"/>
    <w:rsid w:val="00AA2627"/>
    <w:rsid w:val="00AA3B40"/>
    <w:rsid w:val="00AA67BE"/>
    <w:rsid w:val="00AB0AE7"/>
    <w:rsid w:val="00AB14AF"/>
    <w:rsid w:val="00AB1C03"/>
    <w:rsid w:val="00AB294E"/>
    <w:rsid w:val="00AB65FC"/>
    <w:rsid w:val="00AC79D0"/>
    <w:rsid w:val="00AD3374"/>
    <w:rsid w:val="00AE13D4"/>
    <w:rsid w:val="00AF265B"/>
    <w:rsid w:val="00B14981"/>
    <w:rsid w:val="00B15DB3"/>
    <w:rsid w:val="00B22B9E"/>
    <w:rsid w:val="00B245DB"/>
    <w:rsid w:val="00B301FA"/>
    <w:rsid w:val="00B376D5"/>
    <w:rsid w:val="00B47B6A"/>
    <w:rsid w:val="00B60292"/>
    <w:rsid w:val="00B61CDA"/>
    <w:rsid w:val="00B630EF"/>
    <w:rsid w:val="00B70F22"/>
    <w:rsid w:val="00B71212"/>
    <w:rsid w:val="00B86803"/>
    <w:rsid w:val="00B86C65"/>
    <w:rsid w:val="00B90F33"/>
    <w:rsid w:val="00B92076"/>
    <w:rsid w:val="00B92AA9"/>
    <w:rsid w:val="00B92F82"/>
    <w:rsid w:val="00B9386B"/>
    <w:rsid w:val="00B955D2"/>
    <w:rsid w:val="00B974CE"/>
    <w:rsid w:val="00BA5AE9"/>
    <w:rsid w:val="00BA68BD"/>
    <w:rsid w:val="00BB64EA"/>
    <w:rsid w:val="00BB7032"/>
    <w:rsid w:val="00BC4366"/>
    <w:rsid w:val="00BC5D13"/>
    <w:rsid w:val="00BC76BA"/>
    <w:rsid w:val="00BD2A18"/>
    <w:rsid w:val="00BD48EA"/>
    <w:rsid w:val="00BE6433"/>
    <w:rsid w:val="00BF0027"/>
    <w:rsid w:val="00BF0C09"/>
    <w:rsid w:val="00BF12D5"/>
    <w:rsid w:val="00BF3D49"/>
    <w:rsid w:val="00BF4C4D"/>
    <w:rsid w:val="00BF6386"/>
    <w:rsid w:val="00C059CE"/>
    <w:rsid w:val="00C11571"/>
    <w:rsid w:val="00C128DA"/>
    <w:rsid w:val="00C151FF"/>
    <w:rsid w:val="00C35E5E"/>
    <w:rsid w:val="00C369AA"/>
    <w:rsid w:val="00C40EFD"/>
    <w:rsid w:val="00C52397"/>
    <w:rsid w:val="00C558C8"/>
    <w:rsid w:val="00C5749B"/>
    <w:rsid w:val="00C64423"/>
    <w:rsid w:val="00C73F97"/>
    <w:rsid w:val="00C833F3"/>
    <w:rsid w:val="00C8678F"/>
    <w:rsid w:val="00CA5D98"/>
    <w:rsid w:val="00CB3883"/>
    <w:rsid w:val="00CB6D80"/>
    <w:rsid w:val="00CC3894"/>
    <w:rsid w:val="00D01BC8"/>
    <w:rsid w:val="00D033B3"/>
    <w:rsid w:val="00D16DF8"/>
    <w:rsid w:val="00D23C75"/>
    <w:rsid w:val="00D32491"/>
    <w:rsid w:val="00D40F0B"/>
    <w:rsid w:val="00D526A3"/>
    <w:rsid w:val="00D6249A"/>
    <w:rsid w:val="00D73174"/>
    <w:rsid w:val="00D8361D"/>
    <w:rsid w:val="00D92141"/>
    <w:rsid w:val="00D96D31"/>
    <w:rsid w:val="00DA1C74"/>
    <w:rsid w:val="00DA442D"/>
    <w:rsid w:val="00DB1AB8"/>
    <w:rsid w:val="00DB66ED"/>
    <w:rsid w:val="00DC0F93"/>
    <w:rsid w:val="00DC4934"/>
    <w:rsid w:val="00DD5D68"/>
    <w:rsid w:val="00DE0018"/>
    <w:rsid w:val="00E019BE"/>
    <w:rsid w:val="00E01EC5"/>
    <w:rsid w:val="00E2557C"/>
    <w:rsid w:val="00E34801"/>
    <w:rsid w:val="00E42AE8"/>
    <w:rsid w:val="00E46F27"/>
    <w:rsid w:val="00E569EF"/>
    <w:rsid w:val="00E703B9"/>
    <w:rsid w:val="00E83493"/>
    <w:rsid w:val="00E939AC"/>
    <w:rsid w:val="00EA5F27"/>
    <w:rsid w:val="00EB00F9"/>
    <w:rsid w:val="00EB1046"/>
    <w:rsid w:val="00EB6E35"/>
    <w:rsid w:val="00EC1E7A"/>
    <w:rsid w:val="00EC218D"/>
    <w:rsid w:val="00EC2902"/>
    <w:rsid w:val="00EC5A69"/>
    <w:rsid w:val="00ED213C"/>
    <w:rsid w:val="00ED4C69"/>
    <w:rsid w:val="00ED7556"/>
    <w:rsid w:val="00EF0E15"/>
    <w:rsid w:val="00EF485D"/>
    <w:rsid w:val="00F01B06"/>
    <w:rsid w:val="00F15466"/>
    <w:rsid w:val="00F1653F"/>
    <w:rsid w:val="00F21247"/>
    <w:rsid w:val="00F216D0"/>
    <w:rsid w:val="00F24C51"/>
    <w:rsid w:val="00F30B5F"/>
    <w:rsid w:val="00F37A21"/>
    <w:rsid w:val="00F43A2F"/>
    <w:rsid w:val="00F65ECF"/>
    <w:rsid w:val="00F71183"/>
    <w:rsid w:val="00F75F7F"/>
    <w:rsid w:val="00FA0BCE"/>
    <w:rsid w:val="00FA29D6"/>
    <w:rsid w:val="00FA3D08"/>
    <w:rsid w:val="00FB21C7"/>
    <w:rsid w:val="00FB2F23"/>
    <w:rsid w:val="00FC299B"/>
    <w:rsid w:val="00FC2F75"/>
    <w:rsid w:val="00FD1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56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56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70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63E"/>
    <w:rPr>
      <w:rFonts w:asciiTheme="majorHAnsi" w:eastAsiaTheme="majorEastAsia" w:hAnsiTheme="majorHAnsi" w:cstheme="majorBidi"/>
      <w:b/>
      <w:bCs/>
      <w:color w:val="365F91" w:themeColor="accent1" w:themeShade="BF"/>
      <w:sz w:val="28"/>
      <w:szCs w:val="28"/>
      <w:lang w:val="en-GB"/>
    </w:rPr>
  </w:style>
  <w:style w:type="character" w:styleId="Hyperlink">
    <w:name w:val="Hyperlink"/>
    <w:basedOn w:val="DefaultParagraphFont"/>
    <w:uiPriority w:val="99"/>
    <w:unhideWhenUsed/>
    <w:rsid w:val="002B563E"/>
    <w:rPr>
      <w:color w:val="0000FF" w:themeColor="hyperlink"/>
      <w:u w:val="single"/>
    </w:rPr>
  </w:style>
  <w:style w:type="character" w:customStyle="1" w:styleId="Heading2Char">
    <w:name w:val="Heading 2 Char"/>
    <w:basedOn w:val="DefaultParagraphFont"/>
    <w:link w:val="Heading2"/>
    <w:uiPriority w:val="9"/>
    <w:rsid w:val="002B563E"/>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4D6AE0"/>
    <w:pPr>
      <w:ind w:left="720"/>
      <w:contextualSpacing/>
    </w:pPr>
  </w:style>
  <w:style w:type="paragraph" w:styleId="Header">
    <w:name w:val="header"/>
    <w:basedOn w:val="Normal"/>
    <w:link w:val="HeaderChar"/>
    <w:uiPriority w:val="99"/>
    <w:semiHidden/>
    <w:unhideWhenUsed/>
    <w:rsid w:val="00C128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28DA"/>
    <w:rPr>
      <w:lang w:val="en-GB"/>
    </w:rPr>
  </w:style>
  <w:style w:type="paragraph" w:styleId="Footer">
    <w:name w:val="footer"/>
    <w:basedOn w:val="Normal"/>
    <w:link w:val="FooterChar"/>
    <w:uiPriority w:val="99"/>
    <w:semiHidden/>
    <w:unhideWhenUsed/>
    <w:rsid w:val="00C128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28DA"/>
    <w:rPr>
      <w:lang w:val="en-GB"/>
    </w:rPr>
  </w:style>
  <w:style w:type="table" w:styleId="TableGrid">
    <w:name w:val="Table Grid"/>
    <w:basedOn w:val="TableNormal"/>
    <w:uiPriority w:val="59"/>
    <w:rsid w:val="003F2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B703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A0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7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56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56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70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63E"/>
    <w:rPr>
      <w:rFonts w:asciiTheme="majorHAnsi" w:eastAsiaTheme="majorEastAsia" w:hAnsiTheme="majorHAnsi" w:cstheme="majorBidi"/>
      <w:b/>
      <w:bCs/>
      <w:color w:val="365F91" w:themeColor="accent1" w:themeShade="BF"/>
      <w:sz w:val="28"/>
      <w:szCs w:val="28"/>
      <w:lang w:val="en-GB"/>
    </w:rPr>
  </w:style>
  <w:style w:type="character" w:styleId="Hyperlink">
    <w:name w:val="Hyperlink"/>
    <w:basedOn w:val="DefaultParagraphFont"/>
    <w:uiPriority w:val="99"/>
    <w:unhideWhenUsed/>
    <w:rsid w:val="002B563E"/>
    <w:rPr>
      <w:color w:val="0000FF" w:themeColor="hyperlink"/>
      <w:u w:val="single"/>
    </w:rPr>
  </w:style>
  <w:style w:type="character" w:customStyle="1" w:styleId="Heading2Char">
    <w:name w:val="Heading 2 Char"/>
    <w:basedOn w:val="DefaultParagraphFont"/>
    <w:link w:val="Heading2"/>
    <w:uiPriority w:val="9"/>
    <w:rsid w:val="002B563E"/>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4D6AE0"/>
    <w:pPr>
      <w:ind w:left="720"/>
      <w:contextualSpacing/>
    </w:pPr>
  </w:style>
  <w:style w:type="paragraph" w:styleId="Header">
    <w:name w:val="header"/>
    <w:basedOn w:val="Normal"/>
    <w:link w:val="HeaderChar"/>
    <w:uiPriority w:val="99"/>
    <w:semiHidden/>
    <w:unhideWhenUsed/>
    <w:rsid w:val="00C128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28DA"/>
    <w:rPr>
      <w:lang w:val="en-GB"/>
    </w:rPr>
  </w:style>
  <w:style w:type="paragraph" w:styleId="Footer">
    <w:name w:val="footer"/>
    <w:basedOn w:val="Normal"/>
    <w:link w:val="FooterChar"/>
    <w:uiPriority w:val="99"/>
    <w:semiHidden/>
    <w:unhideWhenUsed/>
    <w:rsid w:val="00C128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28DA"/>
    <w:rPr>
      <w:lang w:val="en-GB"/>
    </w:rPr>
  </w:style>
  <w:style w:type="table" w:styleId="TableGrid">
    <w:name w:val="Table Grid"/>
    <w:basedOn w:val="TableNormal"/>
    <w:uiPriority w:val="59"/>
    <w:rsid w:val="003F2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B703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A0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tin.thompson@itassetmanagement.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sa.gov/portal/content/10323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rbb.hanscom.af.mil/esc_opps.asp?rfp=R161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logs.adobe.com/OOBE/2009/1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evek@tagvau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63D7-0C78-47FB-976B-C04655AD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Agnitio Advisors</dc:creator>
  <cp:lastModifiedBy>Steve Klos</cp:lastModifiedBy>
  <cp:revision>2</cp:revision>
  <dcterms:created xsi:type="dcterms:W3CDTF">2011-02-10T17:26:00Z</dcterms:created>
  <dcterms:modified xsi:type="dcterms:W3CDTF">2011-02-10T17:26:00Z</dcterms:modified>
</cp:coreProperties>
</file>